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FFF" w:rsidRDefault="004B2FF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240" w:line="312" w:lineRule="auto"/>
        <w:ind w:left="360" w:hanging="360"/>
        <w:jc w:val="center"/>
        <w:rPr>
          <w:rFonts w:ascii="Arial" w:eastAsia="Arial" w:hAnsi="Arial" w:cs="Arial"/>
          <w:b/>
          <w:color w:val="000000"/>
        </w:rPr>
      </w:pPr>
    </w:p>
    <w:p w:rsidR="00E96E2F" w:rsidRPr="00264E4F" w:rsidRDefault="00B949B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240" w:line="312" w:lineRule="auto"/>
        <w:ind w:left="360" w:hanging="360"/>
        <w:jc w:val="center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Estudo Técnico Preliminar – Obras e Serviços de Engenharia</w:t>
      </w:r>
    </w:p>
    <w:p w:rsidR="00E96E2F" w:rsidRPr="00264E4F" w:rsidRDefault="00B949BD">
      <w:pPr>
        <w:rPr>
          <w:rFonts w:ascii="Bookman Old Style" w:eastAsia="Arial" w:hAnsi="Bookman Old Style" w:cs="Arial"/>
          <w:b/>
        </w:rPr>
      </w:pPr>
      <w:r w:rsidRPr="00264E4F">
        <w:rPr>
          <w:rFonts w:ascii="Bookman Old Style" w:eastAsia="Arial" w:hAnsi="Bookman Old Style" w:cs="Arial"/>
          <w:b/>
        </w:rPr>
        <w:t xml:space="preserve">Processo Administrativo ou Número do </w:t>
      </w:r>
      <w:proofErr w:type="spellStart"/>
      <w:r w:rsidRPr="00264E4F">
        <w:rPr>
          <w:rFonts w:ascii="Bookman Old Style" w:eastAsia="Arial" w:hAnsi="Bookman Old Style" w:cs="Arial"/>
          <w:b/>
        </w:rPr>
        <w:t>ETP</w:t>
      </w:r>
      <w:proofErr w:type="spellEnd"/>
      <w:r w:rsidRPr="00264E4F">
        <w:rPr>
          <w:rFonts w:ascii="Bookman Old Style" w:eastAsia="Arial" w:hAnsi="Bookman Old Style" w:cs="Arial"/>
          <w:b/>
        </w:rPr>
        <w:t xml:space="preserve">: </w:t>
      </w:r>
      <w:r w:rsidR="006A45B0" w:rsidRPr="00264E4F">
        <w:rPr>
          <w:rFonts w:ascii="Bookman Old Style" w:eastAsia="Arial" w:hAnsi="Bookman Old Style" w:cs="Arial"/>
          <w:color w:val="000000"/>
        </w:rPr>
        <w:t>14</w:t>
      </w:r>
    </w:p>
    <w:p w:rsidR="006A45B0" w:rsidRPr="00264E4F" w:rsidRDefault="00B949BD" w:rsidP="006A45B0">
      <w:pPr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 xml:space="preserve">Objeto: </w:t>
      </w:r>
      <w:r w:rsidR="006A45B0" w:rsidRPr="00264E4F">
        <w:rPr>
          <w:rFonts w:ascii="Bookman Old Style" w:eastAsia="Arial" w:hAnsi="Bookman Old Style" w:cs="Arial"/>
          <w:color w:val="000000"/>
        </w:rPr>
        <w:t xml:space="preserve">Contratação de empresa especializada no fornecimento de serviços de Pavimentação sobre pedras irregulares em </w:t>
      </w:r>
      <w:proofErr w:type="spellStart"/>
      <w:r w:rsidR="006A45B0" w:rsidRPr="00264E4F">
        <w:rPr>
          <w:rFonts w:ascii="Bookman Old Style" w:eastAsia="Arial" w:hAnsi="Bookman Old Style" w:cs="Arial"/>
          <w:color w:val="000000"/>
        </w:rPr>
        <w:t>CBUQ</w:t>
      </w:r>
      <w:proofErr w:type="spellEnd"/>
      <w:r w:rsidR="006A45B0" w:rsidRPr="00264E4F">
        <w:rPr>
          <w:rFonts w:ascii="Bookman Old Style" w:eastAsia="Arial" w:hAnsi="Bookman Old Style" w:cs="Arial"/>
          <w:color w:val="000000"/>
        </w:rPr>
        <w:t>, 9.754,09 m2, incluindo os serviços preliminares, base e sub-base, revestimento, meio-fio e sarjeta, urbanização, sinalização de trânsito, drenagem e ensaios tecnológicos, em vias urbanas na Sede do Município e no Distrito de Dr. Antônio Paranhos, nos seguintes trechos.</w:t>
      </w:r>
    </w:p>
    <w:p w:rsidR="006A45B0" w:rsidRPr="00264E4F" w:rsidRDefault="006A45B0" w:rsidP="006A45B0">
      <w:pPr>
        <w:jc w:val="both"/>
        <w:rPr>
          <w:rFonts w:ascii="Bookman Old Style" w:eastAsia="Arial" w:hAnsi="Bookman Old Style" w:cs="Arial"/>
          <w:color w:val="000000"/>
        </w:rPr>
      </w:pPr>
    </w:p>
    <w:p w:rsidR="006A45B0" w:rsidRPr="00264E4F" w:rsidRDefault="006A45B0" w:rsidP="004E0923">
      <w:pPr>
        <w:pStyle w:val="PargrafodaLista"/>
        <w:numPr>
          <w:ilvl w:val="0"/>
          <w:numId w:val="14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AVENIDA ADELINO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BORDIGNON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entre a Rua nº 19 e Rua nº 20 (Distrito Dr. Antônio Paranhos);</w:t>
      </w:r>
    </w:p>
    <w:p w:rsidR="006A45B0" w:rsidRPr="00264E4F" w:rsidRDefault="006A45B0" w:rsidP="004E0923">
      <w:pPr>
        <w:pStyle w:val="PargrafodaLista"/>
        <w:numPr>
          <w:ilvl w:val="0"/>
          <w:numId w:val="14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>RUA Nº 02 entre a Rua nº 19 e Rua nº 20 (Distrito Dr. Antônio Paranhos);</w:t>
      </w:r>
    </w:p>
    <w:p w:rsidR="006A45B0" w:rsidRPr="00264E4F" w:rsidRDefault="006A45B0" w:rsidP="004E0923">
      <w:pPr>
        <w:pStyle w:val="PargrafodaLista"/>
        <w:numPr>
          <w:ilvl w:val="0"/>
          <w:numId w:val="14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>RUA Nº 03 entre a Rua nº 19 e Rua nº 20 (Distrito Dr. Antônio Paranhos);</w:t>
      </w:r>
    </w:p>
    <w:p w:rsidR="006A45B0" w:rsidRPr="00264E4F" w:rsidRDefault="006A45B0" w:rsidP="004E0923">
      <w:pPr>
        <w:pStyle w:val="PargrafodaLista"/>
        <w:numPr>
          <w:ilvl w:val="0"/>
          <w:numId w:val="14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RUA Nº 20 entre a Rua nº 02 e Avenida Adelino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Bordignon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(Distrito Dr. Antônio Paranhos);</w:t>
      </w:r>
    </w:p>
    <w:p w:rsidR="006A45B0" w:rsidRPr="00264E4F" w:rsidRDefault="006A45B0" w:rsidP="004E0923">
      <w:pPr>
        <w:pStyle w:val="PargrafodaLista"/>
        <w:numPr>
          <w:ilvl w:val="0"/>
          <w:numId w:val="14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AVENIDA CORONEL HENRIQUE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RUPP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entre a Rua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Ermerita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Rupp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 Rua São Francisco;</w:t>
      </w:r>
    </w:p>
    <w:p w:rsidR="006A45B0" w:rsidRPr="00264E4F" w:rsidRDefault="006A45B0" w:rsidP="004E0923">
      <w:pPr>
        <w:pStyle w:val="PargrafodaLista"/>
        <w:numPr>
          <w:ilvl w:val="0"/>
          <w:numId w:val="14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RUA CONCÓRDIA com início na Rua Santos Dumont até </w:t>
      </w:r>
      <w:r w:rsidR="00211482" w:rsidRPr="00264E4F">
        <w:rPr>
          <w:rFonts w:ascii="Bookman Old Style" w:eastAsia="Arial" w:hAnsi="Bookman Old Style" w:cs="Arial"/>
          <w:color w:val="000000"/>
          <w:sz w:val="24"/>
        </w:rPr>
        <w:t>à</w:t>
      </w:r>
      <w:r w:rsidRPr="00264E4F">
        <w:rPr>
          <w:rFonts w:ascii="Bookman Old Style" w:eastAsia="Arial" w:hAnsi="Bookman Old Style" w:cs="Arial"/>
          <w:color w:val="000000"/>
          <w:sz w:val="24"/>
        </w:rPr>
        <w:t xml:space="preserve"> Estaca 35 + 17,337m.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</w:rPr>
      </w:pPr>
    </w:p>
    <w:p w:rsidR="00E96E2F" w:rsidRPr="00264E4F" w:rsidRDefault="00CB0AFE" w:rsidP="00D11988">
      <w:pPr>
        <w:spacing w:line="360" w:lineRule="auto"/>
        <w:jc w:val="both"/>
        <w:rPr>
          <w:rFonts w:ascii="Bookman Old Style" w:hAnsi="Bookman Old Style"/>
          <w:b/>
          <w:bCs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Requisitante:</w:t>
      </w:r>
      <w:r w:rsidRPr="00264E4F">
        <w:rPr>
          <w:rFonts w:ascii="Bookman Old Style" w:hAnsi="Bookman Old Style"/>
        </w:rPr>
        <w:t xml:space="preserve"> </w:t>
      </w:r>
      <w:r w:rsidRPr="00264E4F">
        <w:rPr>
          <w:rFonts w:ascii="Bookman Old Style" w:eastAsia="Arial" w:hAnsi="Bookman Old Style" w:cs="Arial"/>
          <w:color w:val="000000"/>
        </w:rPr>
        <w:t>Secretaria de Obras, Infraestrutura Rural e Serviços Urbanos</w:t>
      </w:r>
      <w:r w:rsidRPr="00264E4F">
        <w:rPr>
          <w:rFonts w:ascii="Bookman Old Style" w:eastAsia="Arial" w:hAnsi="Bookman Old Style" w:cs="Arial"/>
        </w:rPr>
        <w:t>.</w:t>
      </w: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ind w:right="141"/>
        <w:jc w:val="both"/>
        <w:rPr>
          <w:rFonts w:ascii="Bookman Old Style" w:eastAsia="Arial" w:hAnsi="Bookman Old Style" w:cs="Arial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 xml:space="preserve">OBJETO 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b/>
          <w:color w:val="000000"/>
        </w:rPr>
      </w:pPr>
    </w:p>
    <w:p w:rsidR="00F92C55" w:rsidRPr="00264E4F" w:rsidRDefault="00B949BD" w:rsidP="00F92C55">
      <w:pPr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Este documento trata-se de estudo técnico preliminar, visando à contratação de pessoa jurídica especializada na prestação de serviços de </w:t>
      </w:r>
      <w:r w:rsidR="00C00E85" w:rsidRPr="00264E4F">
        <w:rPr>
          <w:rFonts w:ascii="Bookman Old Style" w:eastAsia="Arial" w:hAnsi="Bookman Old Style" w:cs="Arial"/>
          <w:color w:val="000000"/>
        </w:rPr>
        <w:t xml:space="preserve">Pavimentação sobre pedras irregulares em </w:t>
      </w:r>
      <w:proofErr w:type="spellStart"/>
      <w:r w:rsidR="00C00E85" w:rsidRPr="00264E4F">
        <w:rPr>
          <w:rFonts w:ascii="Bookman Old Style" w:eastAsia="Arial" w:hAnsi="Bookman Old Style" w:cs="Arial"/>
          <w:color w:val="000000"/>
        </w:rPr>
        <w:t>CBUQ</w:t>
      </w:r>
      <w:proofErr w:type="spellEnd"/>
      <w:r w:rsidR="00C00E85" w:rsidRPr="00264E4F">
        <w:rPr>
          <w:rFonts w:ascii="Bookman Old Style" w:eastAsia="Arial" w:hAnsi="Bookman Old Style" w:cs="Arial"/>
          <w:color w:val="000000"/>
        </w:rPr>
        <w:t>, 9.754,09 m2, incluindo os serviços preliminares, base e sub-base, revestimento, meio-fio e sarjeta, urbanização, sinalização de trânsito, drenagem e ensaios tecnológicos, em vias urbanas na Sede do Município e no Distrito de Dr. Antônio Paranhos</w:t>
      </w:r>
      <w:r w:rsidR="00F92C55" w:rsidRPr="00264E4F">
        <w:rPr>
          <w:rFonts w:ascii="Bookman Old Style" w:eastAsia="Arial" w:hAnsi="Bookman Old Style" w:cs="Arial"/>
          <w:color w:val="000000"/>
        </w:rPr>
        <w:t>, nos seguintes trechos.</w:t>
      </w:r>
    </w:p>
    <w:p w:rsidR="00F92C55" w:rsidRPr="00264E4F" w:rsidRDefault="00F92C55" w:rsidP="00F92C55">
      <w:pPr>
        <w:jc w:val="both"/>
        <w:rPr>
          <w:rFonts w:ascii="Bookman Old Style" w:eastAsia="Arial" w:hAnsi="Bookman Old Style"/>
          <w:color w:val="000000"/>
        </w:rPr>
      </w:pPr>
    </w:p>
    <w:p w:rsidR="00C00E85" w:rsidRPr="00264E4F" w:rsidRDefault="00C00E85" w:rsidP="004E0923">
      <w:pPr>
        <w:pStyle w:val="PargrafodaLista"/>
        <w:numPr>
          <w:ilvl w:val="0"/>
          <w:numId w:val="13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lastRenderedPageBreak/>
        <w:t xml:space="preserve">AVENIDA ADELINO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BORDIGNON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entre a Rua nº 19 e Rua nº 20 (Distrito Dr. Antônio Paranhos);</w:t>
      </w:r>
    </w:p>
    <w:p w:rsidR="00C00E85" w:rsidRPr="00264E4F" w:rsidRDefault="00C00E85" w:rsidP="004E0923">
      <w:pPr>
        <w:pStyle w:val="PargrafodaLista"/>
        <w:numPr>
          <w:ilvl w:val="0"/>
          <w:numId w:val="13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>RUA Nº 02 entre a Rua nº 19 e Rua nº 20 (Distrito Dr. Antônio Paranhos);</w:t>
      </w:r>
    </w:p>
    <w:p w:rsidR="00C00E85" w:rsidRPr="00264E4F" w:rsidRDefault="00C00E85" w:rsidP="004E0923">
      <w:pPr>
        <w:pStyle w:val="PargrafodaLista"/>
        <w:numPr>
          <w:ilvl w:val="0"/>
          <w:numId w:val="13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>RUA Nº 03 entre a Rua nº 19 e Rua nº 20 (Distrito Dr. Antônio Paranhos);</w:t>
      </w:r>
    </w:p>
    <w:p w:rsidR="00C00E85" w:rsidRPr="00264E4F" w:rsidRDefault="00C00E85" w:rsidP="004E0923">
      <w:pPr>
        <w:pStyle w:val="PargrafodaLista"/>
        <w:numPr>
          <w:ilvl w:val="0"/>
          <w:numId w:val="13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RUA Nº 20 entre a Rua nº 02 e Avenida Adelino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Bordignon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(Distrito Dr. Antônio Paranhos);</w:t>
      </w:r>
    </w:p>
    <w:p w:rsidR="00C00E85" w:rsidRPr="00264E4F" w:rsidRDefault="00C00E85" w:rsidP="004E0923">
      <w:pPr>
        <w:pStyle w:val="PargrafodaLista"/>
        <w:numPr>
          <w:ilvl w:val="0"/>
          <w:numId w:val="13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AVENIDA CORONEL HENRIQUE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RUPP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entre a Rua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Ermerita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Rupp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 Rua São Francisco;</w:t>
      </w:r>
    </w:p>
    <w:p w:rsidR="00E96E2F" w:rsidRPr="00264E4F" w:rsidRDefault="00C00E85" w:rsidP="00985984">
      <w:pPr>
        <w:pStyle w:val="PargrafodaLista"/>
        <w:numPr>
          <w:ilvl w:val="0"/>
          <w:numId w:val="13"/>
        </w:numPr>
        <w:jc w:val="both"/>
        <w:rPr>
          <w:rFonts w:ascii="Bookman Old Style" w:eastAsia="Arial" w:hAnsi="Bookman Old Style" w:cs="Arial"/>
          <w:color w:val="000000"/>
          <w:sz w:val="24"/>
        </w:rPr>
      </w:pPr>
      <w:r w:rsidRPr="00264E4F">
        <w:rPr>
          <w:rFonts w:ascii="Bookman Old Style" w:eastAsia="Arial" w:hAnsi="Bookman Old Style" w:cs="Arial"/>
          <w:color w:val="000000"/>
          <w:sz w:val="24"/>
        </w:rPr>
        <w:t xml:space="preserve">RUA CONCÓRDIA com início na Rua Santos Dumont até </w:t>
      </w:r>
      <w:proofErr w:type="spellStart"/>
      <w:r w:rsidRPr="00264E4F">
        <w:rPr>
          <w:rFonts w:ascii="Bookman Old Style" w:eastAsia="Arial" w:hAnsi="Bookman Old Style" w:cs="Arial"/>
          <w:color w:val="000000"/>
          <w:sz w:val="24"/>
        </w:rPr>
        <w:t>a</w:t>
      </w:r>
      <w:proofErr w:type="spellEnd"/>
      <w:r w:rsidRPr="00264E4F">
        <w:rPr>
          <w:rFonts w:ascii="Bookman Old Style" w:eastAsia="Arial" w:hAnsi="Bookman Old Style" w:cs="Arial"/>
          <w:color w:val="000000"/>
          <w:sz w:val="24"/>
        </w:rPr>
        <w:t xml:space="preserve"> Estaca 35 + 17,337m.</w:t>
      </w:r>
    </w:p>
    <w:p w:rsidR="00E96E2F" w:rsidRPr="00264E4F" w:rsidRDefault="00B949BD" w:rsidP="004C24F7">
      <w:pPr>
        <w:ind w:firstLine="284"/>
        <w:jc w:val="both"/>
        <w:rPr>
          <w:rFonts w:ascii="Bookman Old Style" w:eastAsia="Arial" w:hAnsi="Bookman Old Style" w:cs="Arial"/>
          <w:color w:val="FF0000"/>
        </w:rPr>
      </w:pPr>
      <w:r w:rsidRPr="00264E4F">
        <w:rPr>
          <w:rFonts w:ascii="Bookman Old Style" w:eastAsia="Arial" w:hAnsi="Bookman Old Style" w:cs="Arial"/>
        </w:rPr>
        <w:t xml:space="preserve">O presente estudo técnico preliminar consiste na primeira etapa do planejamento da contratação, com a finalidade de garantir a viabilidade e </w:t>
      </w:r>
      <w:r w:rsidRPr="00264E4F">
        <w:rPr>
          <w:rFonts w:ascii="Bookman Old Style" w:eastAsia="Arial" w:hAnsi="Bookman Old Style" w:cs="Arial"/>
          <w:color w:val="000000"/>
        </w:rPr>
        <w:t>fundamentar o projeto básico, consoante previsto no art. 6°, inciso XX da Lei 14.133/2021.</w:t>
      </w: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DESCRIÇÃO DA NECESSIDADE DA CONTRATAÇÃO E OS RESULTADOS PRETENDIDOS - art. 18, § 1º, incisos I e IX, da Lei nº 14.133/2021</w:t>
      </w:r>
    </w:p>
    <w:p w:rsidR="00E96E2F" w:rsidRPr="00264E4F" w:rsidRDefault="00E96E2F">
      <w:pPr>
        <w:ind w:left="360"/>
        <w:jc w:val="both"/>
        <w:rPr>
          <w:rFonts w:ascii="Bookman Old Style" w:hAnsi="Bookman Old Style"/>
          <w:b/>
          <w:color w:val="000000"/>
        </w:rPr>
      </w:pPr>
    </w:p>
    <w:p w:rsidR="004C24F7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 contratação visa, em síntese,</w:t>
      </w:r>
      <w:r w:rsidR="00E72677" w:rsidRPr="00264E4F">
        <w:rPr>
          <w:rFonts w:ascii="Bookman Old Style" w:eastAsia="Arial" w:hAnsi="Bookman Old Style" w:cs="Arial"/>
          <w:color w:val="000000"/>
        </w:rPr>
        <w:t xml:space="preserve"> a</w:t>
      </w:r>
      <w:r w:rsidR="00F92C55" w:rsidRPr="00264E4F">
        <w:rPr>
          <w:rFonts w:ascii="Bookman Old Style" w:eastAsia="Arial" w:hAnsi="Bookman Old Style" w:cs="Arial"/>
          <w:color w:val="000000"/>
        </w:rPr>
        <w:t xml:space="preserve"> </w:t>
      </w:r>
      <w:r w:rsidR="00E72677" w:rsidRPr="00264E4F">
        <w:rPr>
          <w:rFonts w:ascii="Bookman Old Style" w:eastAsia="Arial" w:hAnsi="Bookman Old Style" w:cs="Arial"/>
          <w:color w:val="000000"/>
        </w:rPr>
        <w:t xml:space="preserve">Pavimentação sobre pedras irregulares em </w:t>
      </w:r>
      <w:proofErr w:type="spellStart"/>
      <w:r w:rsidR="00E72677" w:rsidRPr="00264E4F">
        <w:rPr>
          <w:rFonts w:ascii="Bookman Old Style" w:eastAsia="Arial" w:hAnsi="Bookman Old Style" w:cs="Arial"/>
          <w:color w:val="000000"/>
        </w:rPr>
        <w:t>CBUQ</w:t>
      </w:r>
      <w:proofErr w:type="spellEnd"/>
      <w:r w:rsidR="00E72677" w:rsidRPr="00264E4F">
        <w:rPr>
          <w:rFonts w:ascii="Bookman Old Style" w:eastAsia="Arial" w:hAnsi="Bookman Old Style" w:cs="Arial"/>
          <w:color w:val="000000"/>
        </w:rPr>
        <w:t>, 9.754,09 m2, incluindo os serviços preliminares, base e sub-base, revestimento, meio-fio e sarjeta, urbanização, sinalização de trânsito, drenagem e ensaios tecnológicos, em vias urbanas na Sede do Município e no Distrito de Dr. Antônio Paranhos</w:t>
      </w:r>
      <w:r w:rsidR="00E72677" w:rsidRPr="00264E4F">
        <w:rPr>
          <w:rFonts w:ascii="Bookman Old Style" w:eastAsia="Arial" w:hAnsi="Bookman Old Style" w:cs="Arial"/>
          <w:color w:val="000000"/>
        </w:rPr>
        <w:t xml:space="preserve"> </w:t>
      </w:r>
      <w:r w:rsidR="00F92C55" w:rsidRPr="00264E4F">
        <w:rPr>
          <w:rFonts w:ascii="Bookman Old Style" w:eastAsia="Arial" w:hAnsi="Bookman Old Style" w:cs="Arial"/>
          <w:color w:val="000000"/>
        </w:rPr>
        <w:t>e placa de comunicação visual</w:t>
      </w:r>
      <w:r w:rsidR="004C24F7" w:rsidRPr="00264E4F">
        <w:rPr>
          <w:rFonts w:ascii="Bookman Old Style" w:eastAsia="Arial" w:hAnsi="Bookman Old Style" w:cs="Arial"/>
          <w:color w:val="000000"/>
        </w:rPr>
        <w:t>.</w:t>
      </w:r>
    </w:p>
    <w:p w:rsidR="00995F05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Os serv</w:t>
      </w:r>
      <w:r w:rsidR="00995F05" w:rsidRPr="00264E4F">
        <w:rPr>
          <w:rFonts w:ascii="Bookman Old Style" w:eastAsia="Arial" w:hAnsi="Bookman Old Style" w:cs="Arial"/>
          <w:color w:val="000000"/>
        </w:rPr>
        <w:t xml:space="preserve">iços influenciam diretamente na melhoria da qualidade de trafegabilidade, proporcionando melhor fluidez, segurança e conforto do usuário. </w:t>
      </w:r>
    </w:p>
    <w:p w:rsidR="00671009" w:rsidRPr="00264E4F" w:rsidRDefault="004C24F7" w:rsidP="00671009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O resultado pretendido com a pavimentação asfáltica proporciona</w:t>
      </w:r>
      <w:r w:rsidR="00671009" w:rsidRPr="00264E4F">
        <w:rPr>
          <w:rFonts w:ascii="Bookman Old Style" w:eastAsia="Arial" w:hAnsi="Bookman Old Style" w:cs="Arial"/>
          <w:color w:val="000000"/>
        </w:rPr>
        <w:t xml:space="preserve"> uma série de benefícios. Primeiramente, ela melhora a dirigibilidade, proporcionando uma superfície mais regular e segura para a circulação dos veículos. Além disso, o </w:t>
      </w:r>
      <w:hyperlink r:id="rId9" w:history="1">
        <w:r w:rsidR="00671009" w:rsidRPr="00264E4F">
          <w:rPr>
            <w:rFonts w:ascii="Bookman Old Style" w:eastAsia="Arial" w:hAnsi="Bookman Old Style" w:cs="Arial"/>
            <w:color w:val="000000"/>
          </w:rPr>
          <w:t>asfalto</w:t>
        </w:r>
      </w:hyperlink>
      <w:r w:rsidR="00671009" w:rsidRPr="00264E4F">
        <w:rPr>
          <w:rFonts w:ascii="Bookman Old Style" w:eastAsia="Arial" w:hAnsi="Bookman Old Style" w:cs="Arial"/>
          <w:color w:val="000000"/>
        </w:rPr>
        <w:t> reduz a resistência ao rolamento, o que resulta em menor consumo de combustível e menor desgaste dos pneus. Isso significa economia para os motoristas e menor impacto ambiental.</w:t>
      </w:r>
    </w:p>
    <w:p w:rsidR="00671009" w:rsidRPr="00264E4F" w:rsidRDefault="00671009" w:rsidP="0043668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Além disso, a pavimentação asfáltica contribui para o desenvolvimento econômico e social de uma região. Uma cidade bem pavimentada atrai mais investimentos, como a instalação de empresas e comércios, gerando empregos e movimentando a economia local. Além disso, a </w:t>
      </w:r>
      <w:r w:rsidRPr="00264E4F">
        <w:rPr>
          <w:rFonts w:ascii="Bookman Old Style" w:eastAsia="Arial" w:hAnsi="Bookman Old Style" w:cs="Arial"/>
          <w:color w:val="000000"/>
        </w:rPr>
        <w:lastRenderedPageBreak/>
        <w:t>melhoria na infraestrutura de transporte facilita o deslocamento das pessoas, aumentando as oportunidades de trabalho, estudo e lazer.</w:t>
      </w:r>
    </w:p>
    <w:p w:rsidR="005506FA" w:rsidRPr="00264E4F" w:rsidRDefault="005506FA" w:rsidP="0043668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Bookman Old Style" w:eastAsia="Arial" w:hAnsi="Bookman Old Style" w:cs="Arial"/>
          <w:color w:val="000000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 execução dos serviços dever</w:t>
      </w:r>
      <w:r w:rsidR="00FD079C" w:rsidRPr="00264E4F">
        <w:rPr>
          <w:rFonts w:ascii="Bookman Old Style" w:eastAsia="Arial" w:hAnsi="Bookman Old Style" w:cs="Arial"/>
          <w:color w:val="000000"/>
        </w:rPr>
        <w:t xml:space="preserve">á ocorrer no prazo máximo de 210 </w:t>
      </w:r>
      <w:r w:rsidRPr="00264E4F">
        <w:rPr>
          <w:rFonts w:ascii="Bookman Old Style" w:eastAsia="Arial" w:hAnsi="Bookman Old Style" w:cs="Arial"/>
          <w:color w:val="000000"/>
        </w:rPr>
        <w:t>dias.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Assim, diante da importância do (objeto), é necessário que a nova contratação ocorra até o dia </w:t>
      </w:r>
      <w:r w:rsidR="00FD079C" w:rsidRPr="00264E4F">
        <w:rPr>
          <w:rFonts w:ascii="Bookman Old Style" w:eastAsia="Arial" w:hAnsi="Bookman Old Style" w:cs="Arial"/>
          <w:color w:val="000000"/>
        </w:rPr>
        <w:t xml:space="preserve">16 de agosto </w:t>
      </w:r>
      <w:r w:rsidRPr="00264E4F">
        <w:rPr>
          <w:rFonts w:ascii="Bookman Old Style" w:eastAsia="Arial" w:hAnsi="Bookman Old Style" w:cs="Arial"/>
          <w:color w:val="000000"/>
        </w:rPr>
        <w:t xml:space="preserve">de 2024. </w:t>
      </w:r>
    </w:p>
    <w:p w:rsidR="00E96E2F" w:rsidRPr="00264E4F" w:rsidRDefault="00E96E2F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E96E2F" w:rsidRPr="00264E4F" w:rsidRDefault="00E96E2F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PLANO DE CONTRATAÇÕES ANUAL - art. 18, § 1º, inciso II, da Lei nº 14.133/2021</w:t>
      </w: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ind w:left="714"/>
        <w:jc w:val="both"/>
        <w:rPr>
          <w:rFonts w:ascii="Bookman Old Style" w:eastAsia="Arial" w:hAnsi="Bookman Old Style" w:cs="Arial"/>
          <w:b/>
          <w:color w:val="000000"/>
        </w:rPr>
      </w:pPr>
    </w:p>
    <w:p w:rsidR="00F92C55" w:rsidRPr="00264E4F" w:rsidRDefault="005A0BD5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O objeto da contratação não está previsto no Plano de Contratações Anual [2024] N°52/2024, mais visto a importância da pavimentação para o desenvolvimento e considerando que o Município foi comtemplado com recursos provenientes de</w:t>
      </w:r>
      <w:r w:rsidRPr="00264E4F">
        <w:rPr>
          <w:rFonts w:ascii="Bookman Old Style" w:eastAsia="Arial" w:hAnsi="Bookman Old Style" w:cs="Arial"/>
        </w:rPr>
        <w:t xml:space="preserve"> transferências voluntarias do Orçamento Estadual</w:t>
      </w:r>
      <w:r w:rsidRPr="00264E4F">
        <w:rPr>
          <w:rFonts w:ascii="Bookman Old Style" w:eastAsia="Arial" w:hAnsi="Bookman Old Style" w:cs="Arial"/>
          <w:color w:val="000000"/>
        </w:rPr>
        <w:t>, o objeto será inserido no plano anual de contratação na próxima revisão</w:t>
      </w: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 xml:space="preserve">DOS REQUISITOS DA CONTRATAÇÃO - art. 18, § 1º, inciso III, da Lei nº 14.133/2021 </w:t>
      </w:r>
    </w:p>
    <w:p w:rsidR="0016408F" w:rsidRPr="00264E4F" w:rsidRDefault="0016408F" w:rsidP="0016408F">
      <w:pPr>
        <w:pBdr>
          <w:top w:val="nil"/>
          <w:left w:val="nil"/>
          <w:bottom w:val="nil"/>
          <w:right w:val="nil"/>
          <w:between w:val="nil"/>
        </w:pBdr>
        <w:ind w:left="714"/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16408F" w:rsidP="009848D2">
      <w:pPr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</w:rPr>
        <w:t xml:space="preserve">4.1.  </w:t>
      </w:r>
      <w:r w:rsidR="00B949BD" w:rsidRPr="00264E4F">
        <w:rPr>
          <w:rFonts w:ascii="Bookman Old Style" w:eastAsia="Arial" w:hAnsi="Bookman Old Style" w:cs="Arial"/>
          <w:color w:val="000000"/>
        </w:rPr>
        <w:t>O objeto a ser licitado é considerado  obra de engenharia, conforme  (</w:t>
      </w:r>
      <w:proofErr w:type="spellStart"/>
      <w:r w:rsidR="00B949BD" w:rsidRPr="00264E4F">
        <w:rPr>
          <w:rFonts w:ascii="Bookman Old Style" w:eastAsia="Arial" w:hAnsi="Bookman Old Style" w:cs="Arial"/>
          <w:color w:val="000000"/>
        </w:rPr>
        <w:t>ex</w:t>
      </w:r>
      <w:proofErr w:type="spellEnd"/>
      <w:r w:rsidR="00B949BD" w:rsidRPr="00264E4F">
        <w:rPr>
          <w:rFonts w:ascii="Bookman Old Style" w:eastAsia="Arial" w:hAnsi="Bookman Old Style" w:cs="Arial"/>
          <w:color w:val="000000"/>
        </w:rPr>
        <w:t xml:space="preserve">: </w:t>
      </w:r>
      <w:hyperlink r:id="rId10">
        <w:r w:rsidR="00B949BD" w:rsidRPr="00264E4F">
          <w:rPr>
            <w:rFonts w:ascii="Bookman Old Style" w:eastAsia="Arial" w:hAnsi="Bookman Old Style" w:cs="Arial"/>
            <w:color w:val="000000"/>
          </w:rPr>
          <w:t>Resolução Nº 25/2011 do Tribunal de Contas do Estado do Paraná</w:t>
        </w:r>
      </w:hyperlink>
      <w:r w:rsidR="00B949BD" w:rsidRPr="00264E4F">
        <w:rPr>
          <w:rFonts w:ascii="Bookman Old Style" w:eastAsia="Arial" w:hAnsi="Bookman Old Style" w:cs="Arial"/>
          <w:color w:val="000000"/>
        </w:rPr>
        <w:t xml:space="preserve"> que dispõe sobre os conceitos de obra e de serviço de engenharia e dá outras providências tendo como Anexo I a Orientação Técnica do IBRAOP OT – IBR 002/2009 (Instituto Brasileiro de Auditoria de Obras Públicas)</w:t>
      </w:r>
      <w:r w:rsidR="004E17E0" w:rsidRPr="00264E4F">
        <w:rPr>
          <w:rFonts w:ascii="Bookman Old Style" w:eastAsia="Arial" w:hAnsi="Bookman Old Style" w:cs="Arial"/>
          <w:color w:val="000000"/>
        </w:rPr>
        <w:t xml:space="preserve">, em seu item 3 define “Obra de engenharia é a ação de construir, reformar, fabricar, recuperar ou ampliar um bem, na qual seja necessária a utilização de conhecimentos técnicos específicos envolvendo a participação de profissionais habilitados conforme o disposto na Lei Federal nº 5.194/66.” 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</w:rPr>
        <w:t xml:space="preserve">O objeto licitado possui atividades </w:t>
      </w:r>
      <w:r w:rsidRPr="00264E4F">
        <w:rPr>
          <w:rFonts w:ascii="Bookman Old Style" w:eastAsia="Arial" w:hAnsi="Bookman Old Style" w:cs="Arial"/>
          <w:color w:val="000000"/>
        </w:rPr>
        <w:t xml:space="preserve">privativas aos engenheiros e/ou arquitetos.  </w:t>
      </w:r>
    </w:p>
    <w:p w:rsidR="004E17E0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Isto posto, para </w:t>
      </w:r>
      <w:r w:rsidRPr="00264E4F">
        <w:rPr>
          <w:rFonts w:ascii="Bookman Old Style" w:eastAsia="Arial" w:hAnsi="Bookman Old Style" w:cs="Arial"/>
          <w:b/>
          <w:color w:val="000000"/>
        </w:rPr>
        <w:t>habilitação</w:t>
      </w:r>
      <w:r w:rsidRPr="00264E4F">
        <w:rPr>
          <w:rFonts w:ascii="Bookman Old Style" w:eastAsia="Arial" w:hAnsi="Bookman Old Style" w:cs="Arial"/>
          <w:color w:val="000000"/>
        </w:rPr>
        <w:t xml:space="preserve">, além da documentação jurídica, fiscal e trabalhista, conforme preconizadas nos artigos 67 e 68 da Lei 14.133/21, também será </w:t>
      </w:r>
      <w:r w:rsidR="0065714C" w:rsidRPr="00264E4F">
        <w:rPr>
          <w:rFonts w:ascii="Bookman Old Style" w:eastAsia="Arial" w:hAnsi="Bookman Old Style" w:cs="Arial"/>
          <w:color w:val="000000"/>
        </w:rPr>
        <w:t>necessária</w:t>
      </w:r>
      <w:r w:rsidR="0065714C" w:rsidRPr="00264E4F">
        <w:rPr>
          <w:rFonts w:ascii="Bookman Old Style" w:eastAsia="Arial" w:hAnsi="Bookman Old Style" w:cs="Arial"/>
          <w:b/>
          <w:color w:val="000000"/>
        </w:rPr>
        <w:t xml:space="preserve"> </w:t>
      </w:r>
      <w:r w:rsidR="0065714C" w:rsidRPr="00264E4F">
        <w:rPr>
          <w:rFonts w:ascii="Bookman Old Style" w:eastAsia="Arial" w:hAnsi="Bookman Old Style" w:cs="Arial"/>
          <w:color w:val="000000"/>
        </w:rPr>
        <w:t>comprovação</w:t>
      </w:r>
      <w:r w:rsidRPr="00264E4F">
        <w:rPr>
          <w:rFonts w:ascii="Bookman Old Style" w:eastAsia="Arial" w:hAnsi="Bookman Old Style" w:cs="Arial"/>
          <w:color w:val="000000"/>
        </w:rPr>
        <w:t xml:space="preserve"> relativa à </w:t>
      </w:r>
      <w:r w:rsidRPr="00264E4F">
        <w:rPr>
          <w:rFonts w:ascii="Bookman Old Style" w:eastAsia="Arial" w:hAnsi="Bookman Old Style" w:cs="Arial"/>
          <w:b/>
          <w:color w:val="000000"/>
          <w:u w:val="single"/>
        </w:rPr>
        <w:t>qualificação técnico-profissional e técnico-operacional</w:t>
      </w:r>
      <w:r w:rsidRPr="00264E4F">
        <w:rPr>
          <w:rFonts w:ascii="Bookman Old Style" w:eastAsia="Arial" w:hAnsi="Bookman Old Style" w:cs="Arial"/>
          <w:b/>
          <w:color w:val="000000"/>
        </w:rPr>
        <w:t xml:space="preserve">. </w:t>
      </w:r>
      <w:r w:rsidRPr="00264E4F">
        <w:rPr>
          <w:rFonts w:ascii="Bookman Old Style" w:eastAsia="Arial" w:hAnsi="Bookman Old Style" w:cs="Arial"/>
          <w:color w:val="000000"/>
        </w:rPr>
        <w:t>Assim, os licitantes deverão apresentar os seguintes documentos</w:t>
      </w:r>
      <w:r w:rsidRPr="00264E4F">
        <w:rPr>
          <w:rFonts w:ascii="Bookman Old Style" w:eastAsia="Arial" w:hAnsi="Bookman Old Style" w:cs="Arial"/>
          <w:b/>
          <w:color w:val="000000"/>
        </w:rPr>
        <w:t>:</w:t>
      </w:r>
      <w:r w:rsidRPr="00264E4F">
        <w:rPr>
          <w:rFonts w:ascii="Bookman Old Style" w:eastAsia="Arial" w:hAnsi="Bookman Old Style" w:cs="Arial"/>
          <w:color w:val="000000"/>
        </w:rPr>
        <w:t xml:space="preserve"> </w:t>
      </w:r>
    </w:p>
    <w:p w:rsidR="0065714C" w:rsidRPr="00264E4F" w:rsidRDefault="0065714C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p w:rsidR="003E67CC" w:rsidRPr="00264E4F" w:rsidRDefault="003E67CC" w:rsidP="003E67CC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 xml:space="preserve">a) Certidão de Registro de Pessoa Jurídica com a regularidade do licitante junto ao Conselho Regional de Engenharia e Agronomia – CREA e/ou Conselho de Arquitetura e Urbanismo – </w:t>
      </w:r>
      <w:proofErr w:type="spellStart"/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CAU</w:t>
      </w:r>
      <w:proofErr w:type="spellEnd"/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, dentro de seu prazo de validade e com jurisdição na sua sede.</w:t>
      </w:r>
    </w:p>
    <w:p w:rsidR="003E67CC" w:rsidRPr="00264E4F" w:rsidRDefault="003E67CC" w:rsidP="003E67CC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a.1</w:t>
      </w:r>
      <w:proofErr w:type="gramStart"/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) Em</w:t>
      </w:r>
      <w:proofErr w:type="gramEnd"/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 xml:space="preserve"> se tratando de empresa de engenharia não registrada no CREA do Estado do Paraná deverá apresentar o registro do CREA </w:t>
      </w: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lastRenderedPageBreak/>
        <w:t>do Estado de origem, ficando a licitante vencedora obrigada a apresentar o visto do CREA do Paraná antes da</w:t>
      </w:r>
    </w:p>
    <w:p w:rsidR="003E67CC" w:rsidRPr="00264E4F" w:rsidRDefault="003E67CC" w:rsidP="003E67CC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proofErr w:type="gramStart"/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assinatura</w:t>
      </w:r>
      <w:proofErr w:type="gramEnd"/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 xml:space="preserve"> do contrato.</w:t>
      </w:r>
    </w:p>
    <w:p w:rsidR="003E67CC" w:rsidRPr="00264E4F" w:rsidRDefault="003E67CC" w:rsidP="003E67CC">
      <w:pPr>
        <w:pStyle w:val="Nivel4"/>
        <w:numPr>
          <w:ilvl w:val="0"/>
          <w:numId w:val="0"/>
        </w:numPr>
        <w:ind w:left="851"/>
        <w:rPr>
          <w:rFonts w:ascii="Bookman Old Style" w:eastAsia="Times New Roman" w:hAnsi="Bookman Old Style" w:cs="Times New Roman"/>
          <w:color w:val="000000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color w:val="000000"/>
          <w:sz w:val="24"/>
          <w:szCs w:val="24"/>
        </w:rPr>
        <w:t>b) Comprovação de possuir em nome da empresa, atestado fornecido por pessoa jurídica de direito público ou privado, de responsabilidade técnica com comprovação de descrição do objeto e quantidade mínima, nos termos dos artigos 67 e seguintes da Lei 14.133/2021, sendo permitido o somatório de atestados:</w:t>
      </w:r>
    </w:p>
    <w:tbl>
      <w:tblPr>
        <w:tblW w:w="6971" w:type="dxa"/>
        <w:tblInd w:w="7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195"/>
        <w:gridCol w:w="2776"/>
      </w:tblGrid>
      <w:tr w:rsidR="003E67CC" w:rsidRPr="00E466EB" w:rsidTr="009B0724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CC" w:rsidRPr="00E466EB" w:rsidRDefault="003E67CC" w:rsidP="009B0724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b/>
                <w:bCs/>
                <w:color w:val="000000"/>
              </w:rPr>
              <w:t xml:space="preserve">DESCRIÇÃO OBJETO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CC" w:rsidRPr="00E466EB" w:rsidRDefault="003E67CC" w:rsidP="009B0724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b/>
                <w:bCs/>
                <w:color w:val="000000"/>
              </w:rPr>
              <w:t>QUANTIDADE MÍNIMA</w:t>
            </w:r>
          </w:p>
        </w:tc>
      </w:tr>
      <w:tr w:rsidR="003E67CC" w:rsidRPr="00E466EB" w:rsidTr="009B0724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CC" w:rsidRPr="00E466EB" w:rsidRDefault="003E67CC" w:rsidP="009B0724">
            <w:pPr>
              <w:rPr>
                <w:rFonts w:ascii="Bookman Old Style" w:hAnsi="Bookman Old Style"/>
              </w:rPr>
            </w:pPr>
            <w:r w:rsidRPr="00264E4F">
              <w:rPr>
                <w:rFonts w:ascii="Bookman Old Style" w:hAnsi="Bookman Old Style"/>
                <w:color w:val="000000"/>
              </w:rPr>
              <w:t>Pavimentação em Concreto Betuminoso Usinado à Quente (</w:t>
            </w:r>
            <w:proofErr w:type="spellStart"/>
            <w:r w:rsidRPr="00264E4F">
              <w:rPr>
                <w:rFonts w:ascii="Bookman Old Style" w:hAnsi="Bookman Old Style"/>
                <w:color w:val="000000"/>
              </w:rPr>
              <w:t>CBUQ</w:t>
            </w:r>
            <w:proofErr w:type="spellEnd"/>
            <w:r w:rsidRPr="00264E4F">
              <w:rPr>
                <w:rFonts w:ascii="Bookman Old Style" w:hAnsi="Bookman Old Style"/>
                <w:color w:val="000000"/>
              </w:rPr>
              <w:t>)</w:t>
            </w:r>
          </w:p>
        </w:tc>
        <w:tc>
          <w:tcPr>
            <w:tcW w:w="2776" w:type="dxa"/>
            <w:vAlign w:val="center"/>
            <w:hideMark/>
          </w:tcPr>
          <w:p w:rsidR="003E67CC" w:rsidRPr="00264E4F" w:rsidRDefault="003E67CC" w:rsidP="009B0724">
            <w:pPr>
              <w:rPr>
                <w:rFonts w:ascii="Bookman Old Style" w:hAnsi="Bookman Old Style"/>
              </w:rPr>
            </w:pPr>
            <w:r w:rsidRPr="00264E4F">
              <w:rPr>
                <w:rStyle w:val="fontstyle01"/>
                <w:rFonts w:ascii="Bookman Old Style" w:hAnsi="Bookman Old Style"/>
              </w:rPr>
              <w:t>730 toneladas</w:t>
            </w:r>
          </w:p>
          <w:p w:rsidR="003E67CC" w:rsidRPr="00E466EB" w:rsidRDefault="003E67CC" w:rsidP="009B0724">
            <w:pPr>
              <w:rPr>
                <w:rFonts w:ascii="Bookman Old Style" w:hAnsi="Bookman Old Style"/>
              </w:rPr>
            </w:pPr>
          </w:p>
        </w:tc>
      </w:tr>
    </w:tbl>
    <w:p w:rsidR="003E67CC" w:rsidRPr="00264E4F" w:rsidRDefault="003E67CC" w:rsidP="003E67CC">
      <w:pPr>
        <w:pStyle w:val="Nivel4"/>
        <w:numPr>
          <w:ilvl w:val="0"/>
          <w:numId w:val="0"/>
        </w:numPr>
        <w:ind w:left="851"/>
        <w:rPr>
          <w:rFonts w:ascii="Bookman Old Style" w:eastAsia="Arial" w:hAnsi="Bookman Old Style"/>
          <w:b/>
          <w:sz w:val="24"/>
          <w:szCs w:val="24"/>
        </w:rPr>
      </w:pPr>
    </w:p>
    <w:p w:rsidR="003E67CC" w:rsidRPr="00264E4F" w:rsidRDefault="003E67CC" w:rsidP="003E67CC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b.1) </w:t>
      </w:r>
      <w:proofErr w:type="gramStart"/>
      <w:r w:rsidRPr="00264E4F">
        <w:rPr>
          <w:rFonts w:ascii="Bookman Old Style" w:eastAsia="Times New Roman" w:hAnsi="Bookman Old Style" w:cs="Times New Roman"/>
          <w:sz w:val="24"/>
          <w:szCs w:val="24"/>
        </w:rPr>
        <w:t>O(</w:t>
      </w:r>
      <w:proofErr w:type="gramEnd"/>
      <w:r w:rsidRPr="00264E4F">
        <w:rPr>
          <w:rFonts w:ascii="Bookman Old Style" w:eastAsia="Times New Roman" w:hAnsi="Bookman Old Style" w:cs="Times New Roman"/>
          <w:sz w:val="24"/>
          <w:szCs w:val="24"/>
        </w:rPr>
        <w:t>s) atestado(s) apresentado(s) para a comprovação de responsabilidade técnica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  <w:t>somente constituirá(</w:t>
      </w:r>
      <w:proofErr w:type="spellStart"/>
      <w:r w:rsidRPr="00264E4F">
        <w:rPr>
          <w:rFonts w:ascii="Bookman Old Style" w:eastAsia="Times New Roman" w:hAnsi="Bookman Old Style" w:cs="Times New Roman"/>
          <w:sz w:val="24"/>
          <w:szCs w:val="24"/>
        </w:rPr>
        <w:t>ão</w:t>
      </w:r>
      <w:proofErr w:type="spellEnd"/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) prova de capacitação se acompanhado(s) da respectiva Certidão de Acervo Técnico, ou ART ou </w:t>
      </w:r>
      <w:proofErr w:type="spellStart"/>
      <w:r w:rsidRPr="00264E4F">
        <w:rPr>
          <w:rFonts w:ascii="Bookman Old Style" w:eastAsia="Times New Roman" w:hAnsi="Bookman Old Style" w:cs="Times New Roman"/>
          <w:sz w:val="24"/>
          <w:szCs w:val="24"/>
        </w:rPr>
        <w:t>RRT</w:t>
      </w:r>
      <w:proofErr w:type="spellEnd"/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, emitido(s) pelo CREA e/ou pelo </w:t>
      </w:r>
      <w:proofErr w:type="spellStart"/>
      <w:r w:rsidRPr="00264E4F">
        <w:rPr>
          <w:rFonts w:ascii="Bookman Old Style" w:eastAsia="Times New Roman" w:hAnsi="Bookman Old Style" w:cs="Times New Roman"/>
          <w:sz w:val="24"/>
          <w:szCs w:val="24"/>
        </w:rPr>
        <w:t>CAU</w:t>
      </w:r>
      <w:proofErr w:type="spellEnd"/>
      <w:r w:rsidRPr="00264E4F">
        <w:rPr>
          <w:rFonts w:ascii="Bookman Old Style" w:eastAsia="Times New Roman" w:hAnsi="Bookman Old Style" w:cs="Times New Roman"/>
          <w:sz w:val="24"/>
          <w:szCs w:val="24"/>
        </w:rPr>
        <w:t>.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  <w:t>c) Declaração formal da empresa, assinada pelo responsável técnico do licitante, acerca do conhecimento pleno das condições e peculiaridades da contratação.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br/>
      </w:r>
      <w:r w:rsidRPr="00264E4F">
        <w:rPr>
          <w:rFonts w:ascii="Bookman Old Style" w:eastAsia="Times New Roman" w:hAnsi="Bookman Old Style" w:cs="Times New Roman"/>
          <w:b/>
          <w:bCs/>
          <w:sz w:val="24"/>
          <w:szCs w:val="24"/>
        </w:rPr>
        <w:t xml:space="preserve">4.2.  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Capacidade Técnica Profissional: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a) declaração de responsabilidade técnica, indicando o responsável técnico pela execução da obra (Anexo IX) até o seu recebimento definitivo pelo licitador; 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a.1) O responsável indicado, para fins de comprovação da capacitação, deverá participar da obra objeto da licitação.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 xml:space="preserve">b) a declaração de responsabilidade técnica deverá ser acompanhada de “Certificado de Acervo Técnico Profissional – CAT” </w:t>
      </w:r>
      <w:proofErr w:type="gramStart"/>
      <w:r w:rsidRPr="00264E4F">
        <w:rPr>
          <w:rFonts w:ascii="Bookman Old Style" w:eastAsia="Times New Roman" w:hAnsi="Bookman Old Style" w:cs="Times New Roman"/>
          <w:sz w:val="24"/>
          <w:szCs w:val="24"/>
        </w:rPr>
        <w:t>do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(</w:t>
      </w:r>
      <w:proofErr w:type="gramEnd"/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responsável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ei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s) técnico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indicado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), emitido (</w:t>
      </w:r>
      <w:r w:rsidRPr="00264E4F">
        <w:rPr>
          <w:rFonts w:ascii="Bookman Old Style" w:eastAsia="Times New Roman" w:hAnsi="Bookman Old Style" w:cs="Times New Roman"/>
          <w:i/>
          <w:iCs/>
          <w:sz w:val="24"/>
          <w:szCs w:val="24"/>
        </w:rPr>
        <w:t>s</w:t>
      </w:r>
      <w:r w:rsidRPr="00264E4F">
        <w:rPr>
          <w:rFonts w:ascii="Bookman Old Style" w:eastAsia="Times New Roman" w:hAnsi="Bookman Old Style" w:cs="Times New Roman"/>
          <w:sz w:val="24"/>
          <w:szCs w:val="24"/>
        </w:rPr>
        <w:t>) pelo “Conselho Regional de Engenharia e Agronomia – CREA e/ou Conselho de Arquitetura e Urbanismo – CAU”, de execução de, no mínimo, uma obra de semelhante complexidade tecnológica e operacional equivalente ou superior à solicitada no objeto da presente contratação;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c) A comprovação de pertencer ao quadro permanente da empresa deverá ser feita mediante uma das seguintes formas: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c.1) Carteira de Trabalho;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c.2) Certidão do CREA;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lastRenderedPageBreak/>
        <w:t>c.3) Certidão do CAU;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c.4) Contrato Social;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c.5) Contrato de prestação de serviços;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Times New Roman" w:hAnsi="Bookman Old Style" w:cs="Times New Roman"/>
          <w:sz w:val="24"/>
          <w:szCs w:val="24"/>
        </w:rPr>
      </w:pPr>
      <w:r w:rsidRPr="00264E4F">
        <w:rPr>
          <w:rFonts w:ascii="Bookman Old Style" w:eastAsia="Times New Roman" w:hAnsi="Bookman Old Style" w:cs="Times New Roman"/>
          <w:sz w:val="24"/>
          <w:szCs w:val="24"/>
        </w:rPr>
        <w:t>c.6) Contrato de Trabalho registrado na DRT;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Arial" w:hAnsi="Bookman Old Style"/>
          <w:color w:val="auto"/>
          <w:sz w:val="24"/>
          <w:szCs w:val="24"/>
          <w:lang w:eastAsia="pt-BR"/>
        </w:rPr>
      </w:pP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t xml:space="preserve">d) relação de disponibilidade de veículos, máquinas e equipamentos a serem disponibilizados para a execução da (s) obra (s), conforme análise do projeto, constando o nome, n. º do RG, assinatura do responsável legal e nome, número do registro no CREA/CAU e assinatura do responsável técnico indicado, com declaração expressa de sua disponibilidade durante a execução, sob pena de inabilitação (ANEXO XIV); </w:t>
      </w:r>
    </w:p>
    <w:p w:rsidR="007B0934" w:rsidRPr="00264E4F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Bookman Old Style" w:eastAsia="Arial" w:hAnsi="Bookman Old Style"/>
          <w:color w:val="auto"/>
          <w:sz w:val="24"/>
          <w:szCs w:val="24"/>
          <w:lang w:eastAsia="pt-BR"/>
        </w:rPr>
      </w:pP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t>e) cronograma de utilização de veículos, máquinas e equipamentos (ANEXO XV),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devidamente preenchido, com base na relação de disponibilidade do item anterior, constando nome, n. º RG e assinatura do responsável legal pela empresa; e nome, número do registro no CREA/CAU e assinatura do responsável técnico indicado;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É vedada, sob pena de inabilitação, a indicação de um mesmo responsável técnico,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>ou utilização de seu acervo técnico, por mais de uma proponente.</w:t>
      </w:r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br/>
        <w:t xml:space="preserve">O responsável técnico só poderá ser substituído, se atendidos os critérios exigidos nesse Edital, e desde que com expressa autorização do Município, e conhecimento do </w:t>
      </w:r>
      <w:proofErr w:type="spellStart"/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t>Paranacidade</w:t>
      </w:r>
      <w:proofErr w:type="spellEnd"/>
      <w:r w:rsidRPr="00264E4F">
        <w:rPr>
          <w:rFonts w:ascii="Bookman Old Style" w:eastAsia="Arial" w:hAnsi="Bookman Old Style"/>
          <w:color w:val="auto"/>
          <w:sz w:val="24"/>
          <w:szCs w:val="24"/>
          <w:lang w:eastAsia="pt-BR"/>
        </w:rPr>
        <w:t>.</w:t>
      </w:r>
    </w:p>
    <w:p w:rsidR="004E17E0" w:rsidRPr="00264E4F" w:rsidRDefault="004E17E0">
      <w:pPr>
        <w:ind w:firstLine="284"/>
        <w:jc w:val="both"/>
        <w:rPr>
          <w:rFonts w:ascii="Bookman Old Style" w:eastAsia="Arial" w:hAnsi="Bookman Old Style" w:cs="Arial"/>
        </w:rPr>
      </w:pPr>
    </w:p>
    <w:p w:rsidR="007B0934" w:rsidRPr="00264E4F" w:rsidRDefault="009848D2" w:rsidP="007B0934">
      <w:pPr>
        <w:pStyle w:val="Nivel2"/>
        <w:rPr>
          <w:rFonts w:ascii="Bookman Old Style" w:hAnsi="Bookman Old Style"/>
          <w:sz w:val="24"/>
          <w:szCs w:val="24"/>
          <w:lang w:eastAsia="pt-BR"/>
        </w:rPr>
      </w:pPr>
      <w:r w:rsidRPr="00264E4F">
        <w:rPr>
          <w:rFonts w:ascii="Bookman Old Style" w:hAnsi="Bookman Old Style"/>
          <w:sz w:val="24"/>
          <w:szCs w:val="24"/>
          <w:lang w:eastAsia="pt-BR"/>
        </w:rPr>
        <w:t xml:space="preserve"> </w:t>
      </w:r>
      <w:r w:rsidR="00B949BD" w:rsidRPr="00264E4F">
        <w:rPr>
          <w:rFonts w:ascii="Bookman Old Style" w:hAnsi="Bookman Old Style"/>
          <w:sz w:val="24"/>
          <w:szCs w:val="24"/>
          <w:lang w:eastAsia="pt-BR"/>
        </w:rPr>
        <w:t>Sobre os critérios de sustentabilidade e o objeto em questão</w:t>
      </w:r>
      <w:r w:rsidRPr="00264E4F">
        <w:rPr>
          <w:rFonts w:ascii="Bookman Old Style" w:hAnsi="Bookman Old Style"/>
          <w:sz w:val="24"/>
          <w:szCs w:val="24"/>
          <w:lang w:eastAsia="pt-BR"/>
        </w:rPr>
        <w:t xml:space="preserve">: 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 </w:t>
      </w:r>
    </w:p>
    <w:p w:rsidR="00E96E2F" w:rsidRPr="00264E4F" w:rsidRDefault="009848D2" w:rsidP="007B0934">
      <w:pPr>
        <w:pStyle w:val="Nivel2"/>
        <w:rPr>
          <w:rFonts w:ascii="Bookman Old Style" w:hAnsi="Bookman Old Style"/>
          <w:sz w:val="24"/>
          <w:szCs w:val="24"/>
          <w:lang w:eastAsia="pt-BR"/>
        </w:rPr>
      </w:pPr>
      <w:r w:rsidRPr="00264E4F">
        <w:rPr>
          <w:rFonts w:ascii="Bookman Old Style" w:hAnsi="Bookman Old Style"/>
          <w:sz w:val="24"/>
          <w:szCs w:val="24"/>
          <w:lang w:eastAsia="pt-BR"/>
        </w:rPr>
        <w:t>A contratada deverá ter pleno conhecimento e se responsabilizar pelo trabalho seguro das pessoas envolvidas no manuseio de ferramentas, equipamentos e produtos inflamáveis, conforme legislação em vigor do Ministério do Trabalho. Está também se responsabilizará por ações e/ou omissões sobre os resíduos e rejeitos sólidos, líquidos e derivados, nos locais da obra, removendo e promovendo a devida destinação.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Sugere-se a realização de vistoria para a formação do preço, para que sejam verificadas </w:t>
      </w:r>
      <w:r w:rsidR="006A43BB" w:rsidRPr="00264E4F">
        <w:rPr>
          <w:rFonts w:ascii="Bookman Old Style" w:eastAsia="Arial" w:hAnsi="Bookman Old Style" w:cs="Arial"/>
        </w:rPr>
        <w:t>eventuais ocorrências que possa</w:t>
      </w:r>
      <w:r w:rsidRPr="00264E4F">
        <w:rPr>
          <w:rFonts w:ascii="Bookman Old Style" w:eastAsia="Arial" w:hAnsi="Bookman Old Style" w:cs="Arial"/>
        </w:rPr>
        <w:t xml:space="preserve"> dificultar a realização dos serviços</w:t>
      </w:r>
      <w:r w:rsidR="006B758E" w:rsidRPr="00264E4F">
        <w:rPr>
          <w:rFonts w:ascii="Bookman Old Style" w:eastAsia="Arial" w:hAnsi="Bookman Old Style" w:cs="Arial"/>
        </w:rPr>
        <w:t>.</w:t>
      </w:r>
      <w:r w:rsidRPr="00264E4F">
        <w:rPr>
          <w:rFonts w:ascii="Bookman Old Style" w:eastAsia="Arial" w:hAnsi="Bookman Old Style" w:cs="Arial"/>
        </w:rPr>
        <w:t xml:space="preserve"> 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lastRenderedPageBreak/>
        <w:t>A vist</w:t>
      </w:r>
      <w:r w:rsidR="006B758E" w:rsidRPr="00264E4F">
        <w:rPr>
          <w:rFonts w:ascii="Bookman Old Style" w:eastAsia="Arial" w:hAnsi="Bookman Old Style" w:cs="Arial"/>
        </w:rPr>
        <w:t>oria deverá ser agendada junto ao Departamento De Engenharia</w:t>
      </w:r>
      <w:r w:rsidRPr="00264E4F">
        <w:rPr>
          <w:rFonts w:ascii="Bookman Old Style" w:eastAsia="Arial" w:hAnsi="Bookman Old Style" w:cs="Arial"/>
        </w:rPr>
        <w:t xml:space="preserve">. É cabível a substituição por declaração formal assinada pelo responsável técnico da empresa licitante sobre o pleno conhecimento das condições e peculiaridades da contratação. </w:t>
      </w:r>
    </w:p>
    <w:p w:rsidR="00E96E2F" w:rsidRPr="00264E4F" w:rsidRDefault="00601A00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Não será</w:t>
      </w:r>
      <w:r w:rsidR="00B949BD" w:rsidRPr="00264E4F">
        <w:rPr>
          <w:rFonts w:ascii="Bookman Old Style" w:eastAsia="Arial" w:hAnsi="Bookman Old Style" w:cs="Arial"/>
        </w:rPr>
        <w:t xml:space="preserve"> exigida a garantia de participação, </w:t>
      </w:r>
      <w:r w:rsidRPr="00264E4F">
        <w:rPr>
          <w:rFonts w:ascii="Bookman Old Style" w:eastAsia="Arial" w:hAnsi="Bookman Old Style" w:cs="Arial"/>
        </w:rPr>
        <w:t xml:space="preserve">visto que o </w:t>
      </w:r>
      <w:r w:rsidR="00AF7F71" w:rsidRPr="00264E4F">
        <w:rPr>
          <w:rFonts w:ascii="Bookman Old Style" w:eastAsia="Arial" w:hAnsi="Bookman Old Style" w:cs="Arial"/>
        </w:rPr>
        <w:t xml:space="preserve">valor da contratação não </w:t>
      </w:r>
      <w:r w:rsidR="00E31FC8" w:rsidRPr="00264E4F">
        <w:rPr>
          <w:rFonts w:ascii="Bookman Old Style" w:eastAsia="Arial" w:hAnsi="Bookman Old Style" w:cs="Arial"/>
        </w:rPr>
        <w:t xml:space="preserve">é </w:t>
      </w:r>
      <w:r w:rsidR="00AF7F71" w:rsidRPr="00264E4F">
        <w:rPr>
          <w:rFonts w:ascii="Bookman Old Style" w:eastAsia="Arial" w:hAnsi="Bookman Old Style" w:cs="Arial"/>
        </w:rPr>
        <w:t>significativo</w:t>
      </w:r>
      <w:r w:rsidR="00E31FC8" w:rsidRPr="00264E4F">
        <w:rPr>
          <w:rFonts w:ascii="Bookman Old Style" w:eastAsia="Arial" w:hAnsi="Bookman Old Style" w:cs="Arial"/>
        </w:rPr>
        <w:t>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O objeto deverá ser licitado via concorrência eletrônica, por empreitada por preço global, te</w:t>
      </w:r>
      <w:r w:rsidR="00E31FC8" w:rsidRPr="00264E4F">
        <w:rPr>
          <w:rFonts w:ascii="Bookman Old Style" w:eastAsia="Arial" w:hAnsi="Bookman Old Style" w:cs="Arial"/>
        </w:rPr>
        <w:t>ndo que vista que é</w:t>
      </w:r>
      <w:r w:rsidR="006E7AA6" w:rsidRPr="00264E4F">
        <w:rPr>
          <w:rFonts w:ascii="Bookman Old Style" w:eastAsia="Arial" w:hAnsi="Bookman Old Style" w:cs="Arial"/>
        </w:rPr>
        <w:t xml:space="preserve"> uma obra de baixa complexidade</w:t>
      </w:r>
      <w:r w:rsidRPr="00264E4F">
        <w:rPr>
          <w:rFonts w:ascii="Bookman Old Style" w:eastAsia="Arial" w:hAnsi="Bookman Old Style" w:cs="Arial"/>
        </w:rPr>
        <w:t>, sendo possível definir no projeto executivo o quantitativo dos serviços e etapas a serem executados, facilitando a fiscalização da execução, com critério de julgamento menor preço (art. 6</w:t>
      </w:r>
      <w:proofErr w:type="gramStart"/>
      <w:r w:rsidRPr="00264E4F">
        <w:rPr>
          <w:rFonts w:ascii="Bookman Old Style" w:eastAsia="Arial" w:hAnsi="Bookman Old Style" w:cs="Arial"/>
        </w:rPr>
        <w:t>º,inciso</w:t>
      </w:r>
      <w:proofErr w:type="gramEnd"/>
      <w:r w:rsidRPr="00264E4F">
        <w:rPr>
          <w:rFonts w:ascii="Bookman Old Style" w:eastAsia="Arial" w:hAnsi="Bookman Old Style" w:cs="Arial"/>
        </w:rPr>
        <w:t xml:space="preserve"> XXXVIII, alínea “a”, Lei 14.133/21).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b/>
          <w:color w:val="FF0000"/>
        </w:rPr>
      </w:pPr>
    </w:p>
    <w:tbl>
      <w:tblPr>
        <w:tblW w:w="8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596"/>
        <w:gridCol w:w="1658"/>
      </w:tblGrid>
      <w:tr w:rsidR="00E033B6" w:rsidRPr="00264E4F" w:rsidTr="00A31BB2">
        <w:trPr>
          <w:trHeight w:val="898"/>
        </w:trPr>
        <w:tc>
          <w:tcPr>
            <w:tcW w:w="698" w:type="dxa"/>
            <w:shd w:val="clear" w:color="auto" w:fill="B5CDD3"/>
          </w:tcPr>
          <w:p w:rsidR="00E033B6" w:rsidRPr="00264E4F" w:rsidRDefault="00E033B6" w:rsidP="00A31BB2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Item</w:t>
            </w:r>
          </w:p>
        </w:tc>
        <w:tc>
          <w:tcPr>
            <w:tcW w:w="4542" w:type="dxa"/>
            <w:shd w:val="clear" w:color="auto" w:fill="B5CDD3"/>
          </w:tcPr>
          <w:p w:rsidR="00E033B6" w:rsidRPr="00264E4F" w:rsidRDefault="00E033B6" w:rsidP="00A31BB2">
            <w:pPr>
              <w:ind w:firstLine="176"/>
              <w:jc w:val="both"/>
              <w:rPr>
                <w:rFonts w:ascii="Bookman Old Style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Descrição – detalhamento técnico</w:t>
            </w:r>
          </w:p>
        </w:tc>
        <w:tc>
          <w:tcPr>
            <w:tcW w:w="1596" w:type="dxa"/>
            <w:shd w:val="clear" w:color="auto" w:fill="B5CDD3"/>
          </w:tcPr>
          <w:p w:rsidR="00E033B6" w:rsidRPr="00264E4F" w:rsidRDefault="00E033B6" w:rsidP="00A31BB2">
            <w:pPr>
              <w:ind w:firstLine="176"/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Unidade</w:t>
            </w:r>
          </w:p>
        </w:tc>
        <w:tc>
          <w:tcPr>
            <w:tcW w:w="1658" w:type="dxa"/>
            <w:shd w:val="clear" w:color="auto" w:fill="B5CDD3"/>
          </w:tcPr>
          <w:p w:rsidR="00E033B6" w:rsidRPr="00264E4F" w:rsidRDefault="00E033B6" w:rsidP="00A31BB2">
            <w:pPr>
              <w:ind w:firstLine="176"/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Quantidade</w:t>
            </w:r>
          </w:p>
        </w:tc>
      </w:tr>
      <w:tr w:rsidR="00E033B6" w:rsidRPr="00264E4F" w:rsidTr="00A31BB2">
        <w:trPr>
          <w:trHeight w:val="681"/>
        </w:trPr>
        <w:tc>
          <w:tcPr>
            <w:tcW w:w="698" w:type="dxa"/>
          </w:tcPr>
          <w:p w:rsidR="00E033B6" w:rsidRPr="00264E4F" w:rsidRDefault="00E033B6" w:rsidP="00A31BB2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b/>
                <w:color w:val="000000"/>
              </w:rPr>
              <w:t>1</w:t>
            </w:r>
          </w:p>
        </w:tc>
        <w:tc>
          <w:tcPr>
            <w:tcW w:w="4542" w:type="dxa"/>
          </w:tcPr>
          <w:p w:rsidR="003E67CC" w:rsidRPr="00264E4F" w:rsidRDefault="003E67CC" w:rsidP="003E67CC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264E4F">
              <w:rPr>
                <w:rFonts w:ascii="Bookman Old Style" w:eastAsia="Arial" w:hAnsi="Bookman Old Style"/>
                <w:color w:val="000000"/>
              </w:rPr>
              <w:t xml:space="preserve">Pavimentação sobre pedras irregulares em </w:t>
            </w:r>
            <w:proofErr w:type="spellStart"/>
            <w:r w:rsidRPr="00264E4F">
              <w:rPr>
                <w:rFonts w:ascii="Bookman Old Style" w:eastAsia="Arial" w:hAnsi="Bookman Old Style"/>
                <w:color w:val="000000"/>
              </w:rPr>
              <w:t>CBUQ</w:t>
            </w:r>
            <w:proofErr w:type="spellEnd"/>
            <w:r w:rsidRPr="00264E4F">
              <w:rPr>
                <w:rFonts w:ascii="Bookman Old Style" w:eastAsia="Arial" w:hAnsi="Bookman Old Style"/>
                <w:color w:val="000000"/>
              </w:rPr>
              <w:t>, 9.754,09 m2, incluindo os serviços preliminares, base e sub-base, revestimento, meio-fio e sarjeta, urbanização, sinalização de trânsito, drenagem e ensaios tecnológicos e placa de comunicação visual</w:t>
            </w:r>
          </w:p>
          <w:p w:rsidR="00E033B6" w:rsidRPr="00264E4F" w:rsidRDefault="00E033B6" w:rsidP="00A31BB2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</w:p>
        </w:tc>
        <w:tc>
          <w:tcPr>
            <w:tcW w:w="1596" w:type="dxa"/>
          </w:tcPr>
          <w:p w:rsidR="00E033B6" w:rsidRPr="00264E4F" w:rsidRDefault="00E033B6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  <w:i/>
              </w:rPr>
              <w:t xml:space="preserve">    </w:t>
            </w:r>
          </w:p>
          <w:p w:rsidR="00E033B6" w:rsidRPr="00264E4F" w:rsidRDefault="00E033B6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</w:rPr>
              <w:t xml:space="preserve">     M²</w:t>
            </w:r>
          </w:p>
        </w:tc>
        <w:tc>
          <w:tcPr>
            <w:tcW w:w="1658" w:type="dxa"/>
          </w:tcPr>
          <w:p w:rsidR="00E033B6" w:rsidRPr="00264E4F" w:rsidRDefault="00E033B6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  <w:i/>
              </w:rPr>
              <w:t xml:space="preserve">  </w:t>
            </w:r>
          </w:p>
          <w:p w:rsidR="00E033B6" w:rsidRPr="00264E4F" w:rsidRDefault="003E67CC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264E4F">
              <w:rPr>
                <w:rFonts w:ascii="Bookman Old Style" w:eastAsia="Arial" w:hAnsi="Bookman Old Style"/>
                <w:color w:val="000000"/>
              </w:rPr>
              <w:t>9.754,09</w:t>
            </w:r>
          </w:p>
        </w:tc>
      </w:tr>
    </w:tbl>
    <w:p w:rsidR="00E96E2F" w:rsidRPr="00264E4F" w:rsidRDefault="00E96E2F">
      <w:pPr>
        <w:rPr>
          <w:rFonts w:ascii="Bookman Old Style" w:eastAsia="Arial" w:hAnsi="Bookman Old Style" w:cs="Arial"/>
        </w:rPr>
      </w:pPr>
    </w:p>
    <w:p w:rsidR="00BB52B4" w:rsidRPr="00264E4F" w:rsidRDefault="00BB52B4">
      <w:pPr>
        <w:rPr>
          <w:rFonts w:ascii="Bookman Old Style" w:eastAsia="Arial" w:hAnsi="Bookman Old Style" w:cs="Arial"/>
        </w:rPr>
      </w:pPr>
    </w:p>
    <w:p w:rsidR="00BB52B4" w:rsidRPr="00264E4F" w:rsidRDefault="00BB52B4">
      <w:pPr>
        <w:rPr>
          <w:rFonts w:ascii="Bookman Old Style" w:eastAsia="Arial" w:hAnsi="Bookman Old Style" w:cs="Arial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DO QUANTITATIVO ESTIMADO - art. 18, § 1º, inciso IV, da Lei nº 14.133/2021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</w:rPr>
      </w:pPr>
    </w:p>
    <w:p w:rsidR="00BB52B4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A quantidade prevista </w:t>
      </w:r>
      <w:r w:rsidR="00330AAF" w:rsidRPr="00264E4F">
        <w:rPr>
          <w:rFonts w:ascii="Bookman Old Style" w:eastAsia="Arial" w:hAnsi="Bookman Old Style" w:cs="Arial"/>
        </w:rPr>
        <w:t xml:space="preserve">é de Pavimentação em CBUQ em uma área de </w:t>
      </w:r>
      <w:r w:rsidR="003E67CC" w:rsidRPr="00264E4F">
        <w:rPr>
          <w:rFonts w:ascii="Bookman Old Style" w:eastAsia="Arial" w:hAnsi="Bookman Old Style"/>
          <w:color w:val="000000"/>
        </w:rPr>
        <w:t>9.754,09</w:t>
      </w:r>
      <w:r w:rsidR="002C1598" w:rsidRPr="00264E4F">
        <w:rPr>
          <w:rFonts w:ascii="Bookman Old Style" w:eastAsia="Arial" w:hAnsi="Bookman Old Style" w:cs="Arial"/>
        </w:rPr>
        <w:t>m²</w:t>
      </w:r>
      <w:r w:rsidR="0053025E" w:rsidRPr="00264E4F">
        <w:rPr>
          <w:rFonts w:ascii="Bookman Old Style" w:eastAsia="Arial" w:hAnsi="Bookman Old Style" w:cs="Arial"/>
        </w:rPr>
        <w:t>, esta quantidade</w:t>
      </w:r>
      <w:r w:rsidR="00330AAF" w:rsidRPr="00264E4F">
        <w:rPr>
          <w:rFonts w:ascii="Bookman Old Style" w:eastAsia="Arial" w:hAnsi="Bookman Old Style" w:cs="Arial"/>
        </w:rPr>
        <w:t xml:space="preserve"> </w:t>
      </w:r>
      <w:r w:rsidRPr="00264E4F">
        <w:rPr>
          <w:rFonts w:ascii="Bookman Old Style" w:eastAsia="Arial" w:hAnsi="Bookman Old Style" w:cs="Arial"/>
        </w:rPr>
        <w:t>está baseada no leva</w:t>
      </w:r>
      <w:r w:rsidR="00330AAF" w:rsidRPr="00264E4F">
        <w:rPr>
          <w:rFonts w:ascii="Bookman Old Style" w:eastAsia="Arial" w:hAnsi="Bookman Old Style" w:cs="Arial"/>
        </w:rPr>
        <w:t>ntamento detalhado dos serviços,</w:t>
      </w:r>
      <w:r w:rsidRPr="00264E4F">
        <w:rPr>
          <w:rFonts w:ascii="Bookman Old Style" w:eastAsia="Arial" w:hAnsi="Bookman Old Style" w:cs="Arial"/>
        </w:rPr>
        <w:t xml:space="preserve"> na elaboração dos projetos técnicos detalhados, som</w:t>
      </w:r>
      <w:r w:rsidR="00330AAF" w:rsidRPr="00264E4F">
        <w:rPr>
          <w:rFonts w:ascii="Bookman Old Style" w:eastAsia="Arial" w:hAnsi="Bookman Old Style" w:cs="Arial"/>
        </w:rPr>
        <w:t xml:space="preserve">ados aos memoriais </w:t>
      </w:r>
      <w:r w:rsidR="002C1598" w:rsidRPr="00264E4F">
        <w:rPr>
          <w:rFonts w:ascii="Bookman Old Style" w:eastAsia="Arial" w:hAnsi="Bookman Old Style" w:cs="Arial"/>
        </w:rPr>
        <w:t>descritivos de</w:t>
      </w:r>
      <w:r w:rsidRPr="00264E4F">
        <w:rPr>
          <w:rFonts w:ascii="Bookman Old Style" w:eastAsia="Arial" w:hAnsi="Bookman Old Style" w:cs="Arial"/>
        </w:rPr>
        <w:t xml:space="preserve"> serviços, elaborados por equipe técnica capacitada</w:t>
      </w:r>
      <w:r w:rsidR="00330AAF" w:rsidRPr="00264E4F">
        <w:rPr>
          <w:rFonts w:ascii="Bookman Old Style" w:eastAsia="Arial" w:hAnsi="Bookman Old Style" w:cs="Arial"/>
        </w:rPr>
        <w:t>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 </w:t>
      </w: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DAS SOLUÇÕES DISPONÍVEIS NO MERCADO E DA SOLUÇÃO COMO UM TODO - art. 18, § 1º, incisos V e VII, da Lei nº 14.133/2021</w:t>
      </w: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ind w:right="142"/>
        <w:jc w:val="both"/>
        <w:rPr>
          <w:rFonts w:ascii="Bookman Old Style" w:eastAsia="Arial" w:hAnsi="Bookman Old Style" w:cs="Arial"/>
          <w:highlight w:val="yellow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Foram realizadas pesquisas em órgãos e entidades com contratações similares </w:t>
      </w:r>
      <w:r w:rsidRPr="00264E4F">
        <w:rPr>
          <w:rFonts w:ascii="Bookman Old Style" w:eastAsia="Arial" w:hAnsi="Bookman Old Style" w:cs="Arial"/>
        </w:rPr>
        <w:t>à que</w:t>
      </w:r>
      <w:r w:rsidRPr="00264E4F">
        <w:rPr>
          <w:rFonts w:ascii="Bookman Old Style" w:eastAsia="Arial" w:hAnsi="Bookman Old Style" w:cs="Arial"/>
          <w:color w:val="000000"/>
        </w:rPr>
        <w:t xml:space="preserve"> pretende </w:t>
      </w:r>
      <w:r w:rsidR="00B71E52" w:rsidRPr="00264E4F">
        <w:rPr>
          <w:rFonts w:ascii="Bookman Old Style" w:eastAsia="Arial" w:hAnsi="Bookman Old Style" w:cs="Arial"/>
          <w:color w:val="000000"/>
        </w:rPr>
        <w:t>está</w:t>
      </w:r>
      <w:r w:rsidRPr="00264E4F">
        <w:rPr>
          <w:rFonts w:ascii="Bookman Old Style" w:eastAsia="Arial" w:hAnsi="Bookman Old Style" w:cs="Arial"/>
          <w:color w:val="000000"/>
        </w:rPr>
        <w:t xml:space="preserve"> Administração, com a finalidade de identificar a existência de novas metodologias, tecnologias ou inovações que melhor atendam às necessidades.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Abaixo seguem as contratações encontradas e avaliadas:</w:t>
      </w:r>
    </w:p>
    <w:p w:rsidR="00E96E2F" w:rsidRPr="00264E4F" w:rsidRDefault="00E96E2F">
      <w:pPr>
        <w:ind w:firstLine="284"/>
        <w:jc w:val="both"/>
        <w:rPr>
          <w:rFonts w:ascii="Bookman Old Style" w:eastAsia="Arial" w:hAnsi="Bookman Old Style" w:cs="Arial"/>
          <w:color w:val="000000"/>
        </w:rPr>
      </w:pPr>
    </w:p>
    <w:tbl>
      <w:tblPr>
        <w:tblStyle w:val="a1"/>
        <w:tblW w:w="858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555"/>
        <w:gridCol w:w="1559"/>
        <w:gridCol w:w="3260"/>
        <w:gridCol w:w="2214"/>
      </w:tblGrid>
      <w:tr w:rsidR="00E96E2F" w:rsidRPr="00264E4F" w:rsidTr="00632962">
        <w:trPr>
          <w:trHeight w:val="52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B949BD">
            <w:pPr>
              <w:ind w:right="-243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lastRenderedPageBreak/>
              <w:t>Contratação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B949BD">
            <w:pPr>
              <w:ind w:firstLine="27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Órgão Público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</w:tcPr>
          <w:p w:rsidR="00E96E2F" w:rsidRPr="00264E4F" w:rsidRDefault="00B949BD">
            <w:pPr>
              <w:ind w:firstLine="284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Objeto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B949BD">
            <w:pPr>
              <w:ind w:firstLine="284"/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b/>
                <w:color w:val="000000"/>
                <w:sz w:val="20"/>
                <w:szCs w:val="20"/>
              </w:rPr>
              <w:t>Link acesso</w:t>
            </w:r>
          </w:p>
        </w:tc>
      </w:tr>
      <w:tr w:rsidR="00E96E2F" w:rsidRPr="00264E4F" w:rsidTr="00632962">
        <w:trPr>
          <w:trHeight w:val="30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B54BE8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Concorrência n. 06</w:t>
            </w:r>
            <w:r w:rsidR="00B949BD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/23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B54BE8" w:rsidP="00B54BE8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Prefeitura</w:t>
            </w:r>
            <w:r w:rsidR="00B949BD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 </w:t>
            </w:r>
            <w:r w:rsidR="007D4ACE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Francisco Beltrão/</w:t>
            </w: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E2F" w:rsidRPr="00264E4F" w:rsidRDefault="00B949BD" w:rsidP="00F8285F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 </w:t>
            </w:r>
            <w:r w:rsidR="00F8285F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Execução de manutenção de vias urbanas do Município de Francisco Beltrão - PR, sendo:  30.000,00m2 de recapeamento asfáltico com C.B.U.Q. sobre pavimentação poliédrica existente e 80.000,00m2 de recapeamento asfáltico com C.B.U.Q. e </w:t>
            </w:r>
            <w:proofErr w:type="spellStart"/>
            <w:r w:rsidR="00F8285F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microrrevestimento</w:t>
            </w:r>
            <w:proofErr w:type="spellEnd"/>
            <w:r w:rsidR="00F8285F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, sobre pavimentação asfáltica </w:t>
            </w:r>
            <w:proofErr w:type="gramStart"/>
            <w:r w:rsidR="00F8285F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existente.  </w:t>
            </w:r>
            <w:proofErr w:type="gramEnd"/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F8285F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https://franciscobeltrao.pr.gov.br/licitacoes/concorrencia-no-06-2023/</w:t>
            </w:r>
          </w:p>
        </w:tc>
      </w:tr>
      <w:tr w:rsidR="00E96E2F" w:rsidRPr="00264E4F" w:rsidTr="00632962">
        <w:trPr>
          <w:trHeight w:val="28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511475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Concorrência Pública - nº </w:t>
            </w:r>
            <w:r w:rsidR="00AA71D9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02/2024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AA71D9" w:rsidP="00511475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Prefeitura de Nova Laranjeiras</w:t>
            </w:r>
            <w:r w:rsidR="00511475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, 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E2F" w:rsidRPr="00264E4F" w:rsidRDefault="00AA71D9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hAnsi="Bookman Old Style" w:cs="Arial"/>
                <w:color w:val="333333"/>
                <w:sz w:val="20"/>
                <w:szCs w:val="20"/>
                <w:shd w:val="clear" w:color="auto" w:fill="FFFFFF"/>
              </w:rPr>
              <w:t>CONTRATAÇÃO DE EMPRESA PARA EXECUÇÃO DE OBRA DE PAVIMENTAÇÃO DE VIAS URBANAS EM CBUQ NA SEDE DO MUNICÍPIO, COM ÁREA DE 19.945,98M², CONFORME CONVENIO Nº 281/2024 - SECID/PARANACIDADE.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AA71D9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https://novalaranjeiraspr.equiplano.com.br:7076/transparencia/licitacoes/verLicitacao?formulario.codEntidade=76&amp;formulario.exercicio=2024&amp;formulario.codLicitacao=2&amp;formulario.codTipoLicitacao=3</w:t>
            </w:r>
          </w:p>
        </w:tc>
      </w:tr>
      <w:tr w:rsidR="00E96E2F" w:rsidRPr="00264E4F" w:rsidTr="00632962">
        <w:trPr>
          <w:trHeight w:val="30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E96E2F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</w:p>
          <w:p w:rsidR="005C332C" w:rsidRPr="00264E4F" w:rsidRDefault="007D4ACE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C</w:t>
            </w:r>
            <w:r w:rsidR="00632962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oncorrência nº 07/2024</w:t>
            </w:r>
          </w:p>
          <w:p w:rsidR="005C332C" w:rsidRPr="00264E4F" w:rsidRDefault="005C332C" w:rsidP="00B54BE8">
            <w:pPr>
              <w:ind w:right="317"/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B52" w:rsidRPr="00264E4F" w:rsidRDefault="007D4ACE" w:rsidP="007D4ACE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Prefeitura </w:t>
            </w:r>
            <w:proofErr w:type="gramStart"/>
            <w:r w:rsidR="00754B52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de </w:t>
            </w: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962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Itapejara</w:t>
            </w:r>
            <w:proofErr w:type="spellEnd"/>
            <w:proofErr w:type="gramEnd"/>
            <w:r w:rsidR="00754B52"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/PR.</w:t>
            </w:r>
          </w:p>
          <w:p w:rsidR="00754B52" w:rsidRPr="00264E4F" w:rsidRDefault="00754B52" w:rsidP="00754B52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:rsidR="00E96E2F" w:rsidRPr="00264E4F" w:rsidRDefault="00E96E2F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E2F" w:rsidRPr="00264E4F" w:rsidRDefault="00632962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Execução de pavimentação asfáltica de vias urbanas em CBUQ, 10.729,01 m2, incluindo serviços preliminares, terraplenagem, drenagem, base e sub-base, revestimento, meio-fio com sarjeta, serviços de urbanização, sinalização de trânsito, serviços diversos, ensaios tecnológicos e placa de comunicação visual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E2F" w:rsidRPr="00264E4F" w:rsidRDefault="00632962">
            <w:pPr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</w:pPr>
            <w:r w:rsidRPr="00264E4F">
              <w:rPr>
                <w:rFonts w:ascii="Bookman Old Style" w:eastAsia="Arial" w:hAnsi="Bookman Old Style" w:cs="Arial"/>
                <w:color w:val="000000"/>
                <w:sz w:val="20"/>
                <w:szCs w:val="20"/>
              </w:rPr>
              <w:t>https://www.itapejaradoeste.pr.gov.br/licitacoes/edital-aviso-de-concorrencia-eletronica-007-2024-data-de-abertura-11-06-2024/</w:t>
            </w:r>
          </w:p>
        </w:tc>
      </w:tr>
    </w:tbl>
    <w:p w:rsidR="00E96E2F" w:rsidRPr="00264E4F" w:rsidRDefault="00E96E2F">
      <w:pPr>
        <w:ind w:firstLine="284"/>
        <w:jc w:val="both"/>
        <w:rPr>
          <w:rFonts w:ascii="Bookman Old Style" w:eastAsia="Arial" w:hAnsi="Bookman Old Style" w:cs="Arial"/>
          <w:color w:val="FF0000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Observa-se que os de</w:t>
      </w:r>
      <w:r w:rsidR="004C24F7" w:rsidRPr="00264E4F">
        <w:rPr>
          <w:rFonts w:ascii="Bookman Old Style" w:eastAsia="Arial" w:hAnsi="Bookman Old Style" w:cs="Arial"/>
        </w:rPr>
        <w:t xml:space="preserve">mais órgãos também contratam o </w:t>
      </w:r>
      <w:r w:rsidRPr="00264E4F">
        <w:rPr>
          <w:rFonts w:ascii="Bookman Old Style" w:eastAsia="Arial" w:hAnsi="Bookman Old Style" w:cs="Arial"/>
        </w:rPr>
        <w:t>objeto por meio de concorrência eletrônic</w:t>
      </w:r>
      <w:r w:rsidR="004C24F7" w:rsidRPr="00264E4F">
        <w:rPr>
          <w:rFonts w:ascii="Bookman Old Style" w:eastAsia="Arial" w:hAnsi="Bookman Old Style" w:cs="Arial"/>
        </w:rPr>
        <w:t>a, empreitada por preço global</w:t>
      </w:r>
      <w:r w:rsidRPr="00264E4F">
        <w:rPr>
          <w:rFonts w:ascii="Bookman Old Style" w:eastAsia="Arial" w:hAnsi="Bookman Old Style" w:cs="Arial"/>
        </w:rPr>
        <w:t>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Tais soluções já são utilizadas por esta Administração e se mostram mais adequadas para a satisfação do interesse público.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color w:val="FF0000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DO VALOR DA CONTRATAÇÃO – inciso VI, § 1º do art. 18 da Lei 14.133/21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color w:val="000000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O valor estimado da contratação será </w:t>
      </w:r>
      <w:r w:rsidR="00E033B6" w:rsidRPr="00264E4F">
        <w:rPr>
          <w:rFonts w:ascii="Bookman Old Style" w:eastAsia="Arial" w:hAnsi="Bookman Old Style" w:cs="Arial"/>
        </w:rPr>
        <w:t>R$</w:t>
      </w:r>
      <w:r w:rsidR="00A1314D" w:rsidRPr="00264E4F">
        <w:rPr>
          <w:rFonts w:ascii="Bookman Old Style" w:eastAsia="Arial" w:hAnsi="Bookman Old Style" w:cs="Arial"/>
        </w:rPr>
        <w:t>1.847.377,49</w:t>
      </w:r>
      <w:r w:rsidRPr="00264E4F">
        <w:rPr>
          <w:rFonts w:ascii="Bookman Old Style" w:eastAsia="Arial" w:hAnsi="Bookman Old Style" w:cs="Arial"/>
        </w:rPr>
        <w:t xml:space="preserve">. </w:t>
      </w:r>
    </w:p>
    <w:p w:rsidR="00E96E2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Os preços da planilha orçamentária foram obtidos através da composição de custos unitários da tabela SINAPI</w:t>
      </w:r>
      <w:r w:rsidR="0023773B" w:rsidRPr="00264E4F">
        <w:rPr>
          <w:rFonts w:ascii="Bookman Old Style" w:eastAsia="Arial" w:hAnsi="Bookman Old Style" w:cs="Arial"/>
        </w:rPr>
        <w:t xml:space="preserve"> e DER-PR</w:t>
      </w:r>
      <w:r w:rsidRPr="00264E4F">
        <w:rPr>
          <w:rFonts w:ascii="Bookman Old Style" w:eastAsia="Arial" w:hAnsi="Bookman Old Style" w:cs="Arial"/>
        </w:rPr>
        <w:t>, conforme preconiza o seu art. 23, §2º, inciso I, da Lei n. 14.133/21.</w:t>
      </w:r>
    </w:p>
    <w:p w:rsidR="00264E4F" w:rsidRDefault="00264E4F">
      <w:pPr>
        <w:ind w:firstLine="284"/>
        <w:jc w:val="both"/>
        <w:rPr>
          <w:rFonts w:ascii="Bookman Old Style" w:eastAsia="Arial" w:hAnsi="Bookman Old Style" w:cs="Arial"/>
        </w:rPr>
      </w:pPr>
    </w:p>
    <w:p w:rsidR="00264E4F" w:rsidRDefault="00264E4F">
      <w:pPr>
        <w:ind w:firstLine="284"/>
        <w:jc w:val="both"/>
        <w:rPr>
          <w:rFonts w:ascii="Bookman Old Style" w:eastAsia="Arial" w:hAnsi="Bookman Old Style" w:cs="Arial"/>
        </w:rPr>
      </w:pPr>
    </w:p>
    <w:p w:rsidR="00264E4F" w:rsidRPr="00264E4F" w:rsidRDefault="00264E4F">
      <w:pPr>
        <w:ind w:firstLine="284"/>
        <w:jc w:val="both"/>
        <w:rPr>
          <w:rFonts w:ascii="Bookman Old Style" w:eastAsia="Arial" w:hAnsi="Bookman Old Style" w:cs="Arial"/>
        </w:rPr>
      </w:pPr>
      <w:bookmarkStart w:id="0" w:name="_GoBack"/>
      <w:bookmarkEnd w:id="0"/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lastRenderedPageBreak/>
        <w:t>JUSTIFICATIVAS DO PARCELAMENTO OU NÃO – inciso VIII do § 1° do art. 18 da Lei 14.133/21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b/>
          <w:color w:val="FF0000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  <w:color w:val="000000"/>
        </w:rPr>
        <w:t xml:space="preserve">O objeto não poderá ser parcelado em razão </w:t>
      </w:r>
      <w:r w:rsidR="00071523" w:rsidRPr="00264E4F">
        <w:rPr>
          <w:rFonts w:ascii="Bookman Old Style" w:eastAsia="Arial" w:hAnsi="Bookman Old Style" w:cs="Arial"/>
        </w:rPr>
        <w:t>da contratação da obra ser mais satisfatório do ponto de vista de</w:t>
      </w:r>
      <w:r w:rsidR="00071523" w:rsidRPr="00264E4F">
        <w:rPr>
          <w:rFonts w:ascii="Bookman Old Style" w:eastAsia="Arial" w:hAnsi="Bookman Old Style" w:cs="Arial"/>
          <w:color w:val="000000"/>
        </w:rPr>
        <w:t xml:space="preserve"> </w:t>
      </w:r>
      <w:r w:rsidR="00071523" w:rsidRPr="00264E4F">
        <w:rPr>
          <w:rFonts w:ascii="Bookman Old Style" w:eastAsia="Arial" w:hAnsi="Bookman Old Style" w:cs="Arial"/>
        </w:rPr>
        <w:t>eficiência técnica, por manter a qualidade da execução do objeto, haja vista que o gerenciamento e compatibilização dos andamento dos serviços permanecem o tempo todo a cargo de</w:t>
      </w:r>
      <w:r w:rsidR="00071523" w:rsidRPr="00264E4F">
        <w:rPr>
          <w:rFonts w:ascii="Bookman Old Style" w:eastAsia="Arial" w:hAnsi="Bookman Old Style" w:cs="Arial"/>
          <w:color w:val="000000"/>
        </w:rPr>
        <w:t xml:space="preserve"> </w:t>
      </w:r>
      <w:r w:rsidR="00071523" w:rsidRPr="00264E4F">
        <w:rPr>
          <w:rFonts w:ascii="Bookman Old Style" w:eastAsia="Arial" w:hAnsi="Bookman Old Style" w:cs="Arial"/>
        </w:rPr>
        <w:t>um mesmo administrador, ressaltando que oferece, também, um maior nível de controle pela</w:t>
      </w:r>
      <w:r w:rsidR="00071523" w:rsidRPr="00264E4F">
        <w:rPr>
          <w:rFonts w:ascii="Bookman Old Style" w:eastAsia="Arial" w:hAnsi="Bookman Old Style" w:cs="Arial"/>
          <w:color w:val="000000"/>
        </w:rPr>
        <w:t xml:space="preserve"> </w:t>
      </w:r>
      <w:r w:rsidR="00071523" w:rsidRPr="00264E4F">
        <w:rPr>
          <w:rFonts w:ascii="Bookman Old Style" w:eastAsia="Arial" w:hAnsi="Bookman Old Style" w:cs="Arial"/>
        </w:rPr>
        <w:t>Administração na execução dos serviços, cumprimento de cronograma e observância de prazos com a concentração da responsabilidade do contrato e garantia dos resultados em uma só</w:t>
      </w:r>
      <w:r w:rsidR="00071523" w:rsidRPr="00264E4F">
        <w:rPr>
          <w:rFonts w:ascii="Bookman Old Style" w:eastAsia="Arial" w:hAnsi="Bookman Old Style" w:cs="Arial"/>
          <w:color w:val="000000"/>
        </w:rPr>
        <w:t xml:space="preserve"> </w:t>
      </w:r>
      <w:r w:rsidR="00071523" w:rsidRPr="00264E4F">
        <w:rPr>
          <w:rFonts w:ascii="Bookman Old Style" w:eastAsia="Arial" w:hAnsi="Bookman Old Style" w:cs="Arial"/>
        </w:rPr>
        <w:t>pessoa.</w:t>
      </w:r>
    </w:p>
    <w:p w:rsidR="00071523" w:rsidRPr="00264E4F" w:rsidRDefault="00071523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 xml:space="preserve">Ressalta-se que em contratações com serviços inter-relacionados, o atraso em uma etapa do objeto implica </w:t>
      </w:r>
      <w:r w:rsidR="00B97338" w:rsidRPr="00264E4F">
        <w:rPr>
          <w:rFonts w:ascii="Bookman Old Style" w:eastAsia="Arial" w:hAnsi="Bookman Old Style" w:cs="Arial"/>
        </w:rPr>
        <w:t>no prazo</w:t>
      </w:r>
      <w:r w:rsidRPr="00264E4F">
        <w:rPr>
          <w:rFonts w:ascii="Bookman Old Style" w:eastAsia="Arial" w:hAnsi="Bookman Old Style" w:cs="Arial"/>
        </w:rPr>
        <w:t xml:space="preserve"> final de entrega dos serviços. Pelas razões expostas, recomendamos que a contratação não seja parcelada, por não ser vantajoso para a administração pública ou representar prejuízo ao conjunto ou ao complexo do objeto a ser contratado.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DAS CONTRATAÇÕES CORRELATAS - inciso XI, § 1º do art. 18 da Lei 14.133/21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Não há necessidade de contratações interdependentes ou correlatas à viabilidade desta contratação.</w:t>
      </w:r>
    </w:p>
    <w:p w:rsidR="00E96E2F" w:rsidRPr="00264E4F" w:rsidRDefault="00E96E2F">
      <w:pPr>
        <w:rPr>
          <w:rFonts w:ascii="Bookman Old Style" w:eastAsia="Arial" w:hAnsi="Bookman Old Style" w:cs="Arial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DAS PROVIDÊNCIAS PARA CELEBRAÇÃO DO CONTRATO - inciso X, § 1º do art. 18 da Lei 14.133/21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Não há inovações na presente contratação, logo não será necessário promover providências específicas pela Administração previamente à celebração do contrato, nem realizar capacitação de servidores para fiscalização e gestão contratual.</w:t>
      </w:r>
    </w:p>
    <w:p w:rsidR="00E96E2F" w:rsidRPr="00264E4F" w:rsidRDefault="00E96E2F">
      <w:pPr>
        <w:rPr>
          <w:rFonts w:ascii="Bookman Old Style" w:eastAsia="Arial" w:hAnsi="Bookman Old Style" w:cs="Arial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t>DOS POSSÍVEIS IMPACTOS AMBIENTAIS - inciso XII, § 1º do art. 18 da Lei 14.133/21</w:t>
      </w:r>
    </w:p>
    <w:p w:rsidR="00E96E2F" w:rsidRPr="00264E4F" w:rsidRDefault="00E96E2F">
      <w:pPr>
        <w:jc w:val="both"/>
        <w:rPr>
          <w:rFonts w:ascii="Bookman Old Style" w:hAnsi="Bookman Old Style"/>
        </w:rPr>
      </w:pP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</w:t>
      </w:r>
    </w:p>
    <w:p w:rsidR="00E96E2F" w:rsidRPr="00264E4F" w:rsidRDefault="00B949BD">
      <w:pPr>
        <w:ind w:firstLine="284"/>
        <w:jc w:val="both"/>
        <w:rPr>
          <w:rFonts w:ascii="Bookman Old Style" w:eastAsia="Arial" w:hAnsi="Bookman Old Style" w:cs="Arial"/>
        </w:rPr>
      </w:pPr>
      <w:r w:rsidRPr="00264E4F">
        <w:rPr>
          <w:rFonts w:ascii="Bookman Old Style" w:eastAsia="Arial" w:hAnsi="Bookman Old Style" w:cs="Arial"/>
        </w:rPr>
        <w:t>É responsabilidade da Contratada observar e cumprir a legislação vigente para disposição adequada dos resíduos.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color w:val="FF0000"/>
        </w:rPr>
      </w:pP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</w:p>
    <w:p w:rsidR="00E96E2F" w:rsidRPr="00264E4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eastAsia="Arial" w:hAnsi="Bookman Old Style" w:cs="Arial"/>
          <w:b/>
          <w:color w:val="000000"/>
        </w:rPr>
        <w:lastRenderedPageBreak/>
        <w:t xml:space="preserve"> DA VIABILIDADE DA CONTRATAÇÃO - inciso XIII, § 1º do art. 18 da Lei 14.133/21</w:t>
      </w:r>
    </w:p>
    <w:p w:rsidR="00E96E2F" w:rsidRPr="00264E4F" w:rsidRDefault="00E96E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man Old Style" w:eastAsia="Arial" w:hAnsi="Bookman Old Style" w:cs="Arial"/>
          <w:i/>
          <w:color w:val="000000"/>
        </w:rPr>
      </w:pPr>
    </w:p>
    <w:p w:rsidR="00E96E2F" w:rsidRPr="00264E4F" w:rsidRDefault="00B949BD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Bookman Old Style" w:eastAsia="Arial" w:hAnsi="Bookman Old Style" w:cs="Arial"/>
          <w:color w:val="000000"/>
        </w:rPr>
      </w:pPr>
      <w:r w:rsidRPr="00264E4F">
        <w:rPr>
          <w:rFonts w:ascii="Bookman Old Style" w:eastAsia="Arial" w:hAnsi="Bookman Old Style" w:cs="Arial"/>
          <w:color w:val="000000"/>
        </w:rPr>
        <w:t>A contratação configura viável e necessária, tendo os estudos preliminares evidenciado que a solução é possível, técnica e economicamente.</w:t>
      </w:r>
    </w:p>
    <w:p w:rsidR="00E96E2F" w:rsidRPr="00264E4F" w:rsidRDefault="00E96E2F">
      <w:pPr>
        <w:jc w:val="both"/>
        <w:rPr>
          <w:rFonts w:ascii="Bookman Old Style" w:eastAsia="Arial" w:hAnsi="Bookman Old Style" w:cs="Arial"/>
          <w:i/>
          <w:color w:val="000000"/>
        </w:rPr>
      </w:pPr>
    </w:p>
    <w:p w:rsidR="00843B75" w:rsidRPr="00264E4F" w:rsidRDefault="00843B75">
      <w:pPr>
        <w:rPr>
          <w:rFonts w:ascii="Bookman Old Style" w:eastAsia="Arial" w:hAnsi="Bookman Old Style" w:cs="Arial"/>
          <w:b/>
          <w:color w:val="000000"/>
        </w:rPr>
      </w:pPr>
    </w:p>
    <w:p w:rsidR="0026024A" w:rsidRPr="00264E4F" w:rsidRDefault="0026024A">
      <w:pPr>
        <w:rPr>
          <w:rFonts w:ascii="Bookman Old Style" w:eastAsia="Arial" w:hAnsi="Bookman Old Style" w:cs="Arial"/>
          <w:b/>
          <w:color w:val="000000"/>
        </w:rPr>
      </w:pPr>
    </w:p>
    <w:p w:rsidR="0026024A" w:rsidRPr="00264E4F" w:rsidRDefault="0026024A" w:rsidP="0026024A">
      <w:pPr>
        <w:pStyle w:val="Corpodetexto"/>
        <w:spacing w:before="60" w:after="60" w:line="288" w:lineRule="auto"/>
        <w:ind w:right="116"/>
        <w:jc w:val="right"/>
        <w:rPr>
          <w:rFonts w:ascii="Bookman Old Style" w:hAnsi="Bookman Old Style" w:cstheme="minorHAnsi"/>
          <w:sz w:val="24"/>
          <w:szCs w:val="24"/>
        </w:rPr>
      </w:pPr>
      <w:r w:rsidRPr="00264E4F">
        <w:rPr>
          <w:rFonts w:ascii="Bookman Old Style" w:hAnsi="Bookman Old Style" w:cstheme="minorHAnsi"/>
          <w:sz w:val="24"/>
          <w:szCs w:val="24"/>
        </w:rPr>
        <w:t>São Jorge D’Oeste,</w:t>
      </w:r>
      <w:r w:rsidR="00A1314D" w:rsidRPr="00264E4F">
        <w:rPr>
          <w:rFonts w:ascii="Bookman Old Style" w:hAnsi="Bookman Old Style" w:cstheme="minorHAnsi"/>
          <w:sz w:val="24"/>
          <w:szCs w:val="24"/>
        </w:rPr>
        <w:t xml:space="preserve"> 23</w:t>
      </w:r>
      <w:r w:rsidR="00E033B6" w:rsidRPr="00264E4F">
        <w:rPr>
          <w:rFonts w:ascii="Bookman Old Style" w:hAnsi="Bookman Old Style" w:cstheme="minorHAnsi"/>
          <w:sz w:val="24"/>
          <w:szCs w:val="24"/>
        </w:rPr>
        <w:t xml:space="preserve"> de </w:t>
      </w:r>
      <w:r w:rsidR="00480815" w:rsidRPr="00264E4F">
        <w:rPr>
          <w:rFonts w:ascii="Bookman Old Style" w:hAnsi="Bookman Old Style" w:cstheme="minorHAnsi"/>
          <w:sz w:val="24"/>
          <w:szCs w:val="24"/>
        </w:rPr>
        <w:t>jul</w:t>
      </w:r>
      <w:r w:rsidR="00E033B6" w:rsidRPr="00264E4F">
        <w:rPr>
          <w:rFonts w:ascii="Bookman Old Style" w:hAnsi="Bookman Old Style" w:cstheme="minorHAnsi"/>
          <w:sz w:val="24"/>
          <w:szCs w:val="24"/>
        </w:rPr>
        <w:t>ho</w:t>
      </w:r>
      <w:r w:rsidRPr="00264E4F">
        <w:rPr>
          <w:rFonts w:ascii="Bookman Old Style" w:hAnsi="Bookman Old Style" w:cstheme="minorHAnsi"/>
          <w:sz w:val="24"/>
          <w:szCs w:val="24"/>
        </w:rPr>
        <w:t xml:space="preserve"> de 2024</w:t>
      </w:r>
    </w:p>
    <w:p w:rsidR="0026024A" w:rsidRPr="00264E4F" w:rsidRDefault="0026024A" w:rsidP="0026024A">
      <w:pPr>
        <w:spacing w:before="60" w:after="60" w:line="288" w:lineRule="auto"/>
        <w:rPr>
          <w:rFonts w:ascii="Bookman Old Style" w:hAnsi="Bookman Old Style" w:cstheme="minorHAnsi"/>
        </w:rPr>
      </w:pPr>
    </w:p>
    <w:p w:rsidR="0026024A" w:rsidRPr="00264E4F" w:rsidRDefault="0026024A" w:rsidP="0026024A">
      <w:pPr>
        <w:spacing w:before="60" w:after="60" w:line="288" w:lineRule="auto"/>
        <w:rPr>
          <w:rFonts w:ascii="Bookman Old Style" w:eastAsiaTheme="majorEastAsia" w:hAnsi="Bookman Old Style" w:cstheme="minorHAnsi"/>
          <w:b/>
          <w:bCs/>
        </w:rPr>
      </w:pPr>
    </w:p>
    <w:p w:rsidR="00FE073B" w:rsidRPr="00264E4F" w:rsidRDefault="0026024A">
      <w:pPr>
        <w:rPr>
          <w:rFonts w:ascii="Bookman Old Style" w:eastAsia="Arial" w:hAnsi="Bookman Old Style" w:cs="Arial"/>
          <w:b/>
          <w:color w:val="000000"/>
        </w:rPr>
      </w:pPr>
      <w:r w:rsidRPr="00264E4F"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048A2" wp14:editId="7CBF397A">
                <wp:simplePos x="0" y="0"/>
                <wp:positionH relativeFrom="margin">
                  <wp:posOffset>1693628</wp:posOffset>
                </wp:positionH>
                <wp:positionV relativeFrom="paragraph">
                  <wp:posOffset>323049</wp:posOffset>
                </wp:positionV>
                <wp:extent cx="2366645" cy="619125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4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024A" w:rsidRDefault="0026024A" w:rsidP="0026024A">
                            <w:pPr>
                              <w:jc w:val="center"/>
                            </w:pPr>
                            <w:proofErr w:type="spellStart"/>
                            <w:r>
                              <w:t>Glaciano</w:t>
                            </w:r>
                            <w:proofErr w:type="spellEnd"/>
                            <w:r>
                              <w:t xml:space="preserve"> de Oliveira</w:t>
                            </w:r>
                          </w:p>
                          <w:p w:rsidR="0026024A" w:rsidRDefault="0026024A" w:rsidP="0026024A">
                            <w:pPr>
                              <w:jc w:val="center"/>
                            </w:pPr>
                            <w:proofErr w:type="spellStart"/>
                            <w:r>
                              <w:t>Engº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CivilCREA</w:t>
                            </w:r>
                            <w:proofErr w:type="spellEnd"/>
                            <w:r>
                              <w:t>/PR n157785/D</w:t>
                            </w:r>
                          </w:p>
                          <w:p w:rsidR="0026024A" w:rsidRDefault="0026024A" w:rsidP="0026024A">
                            <w:pPr>
                              <w:jc w:val="center"/>
                            </w:pPr>
                            <w:r>
                              <w:t>Decreto- 2664/2018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1048A2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margin-left:133.35pt;margin-top:25.45pt;width:186.3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" filled="f" stroked="f" strokeweight=".5pt">
                <v:textbox>
                  <w:txbxContent>
                    <w:p w:rsidR="0026024A" w:rsidRDefault="0026024A" w:rsidP="0026024A">
                      <w:pPr>
                        <w:jc w:val="center"/>
                      </w:pPr>
                      <w:proofErr w:type="spellStart"/>
                      <w:r>
                        <w:t>Glaciano</w:t>
                      </w:r>
                      <w:proofErr w:type="spellEnd"/>
                      <w:r>
                        <w:t xml:space="preserve"> de Oliveira</w:t>
                      </w:r>
                    </w:p>
                    <w:p w:rsidR="0026024A" w:rsidRDefault="0026024A" w:rsidP="0026024A">
                      <w:pPr>
                        <w:jc w:val="center"/>
                      </w:pPr>
                      <w:proofErr w:type="spellStart"/>
                      <w:r>
                        <w:t>Engº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CivilCREA</w:t>
                      </w:r>
                      <w:proofErr w:type="spellEnd"/>
                      <w:r>
                        <w:t>/PR n157785/D</w:t>
                      </w:r>
                    </w:p>
                    <w:p w:rsidR="0026024A" w:rsidRDefault="0026024A" w:rsidP="0026024A">
                      <w:pPr>
                        <w:jc w:val="center"/>
                      </w:pPr>
                      <w:r>
                        <w:t>Decreto- 2664/2018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E073B" w:rsidRPr="00264E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A1B" w:rsidRDefault="00B949BD">
      <w:r>
        <w:separator/>
      </w:r>
    </w:p>
  </w:endnote>
  <w:endnote w:type="continuationSeparator" w:id="0">
    <w:p w:rsidR="00D57A1B" w:rsidRDefault="00B9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A1B" w:rsidRDefault="00B949BD">
      <w:r>
        <w:separator/>
      </w:r>
    </w:p>
  </w:footnote>
  <w:footnote w:type="continuationSeparator" w:id="0">
    <w:p w:rsidR="00D57A1B" w:rsidRDefault="00B9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FFF" w:rsidRDefault="004B2F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E235449" wp14:editId="2C656BBB">
          <wp:simplePos x="0" y="0"/>
          <wp:positionH relativeFrom="margin">
            <wp:posOffset>365760</wp:posOffset>
          </wp:positionH>
          <wp:positionV relativeFrom="paragraph">
            <wp:posOffset>-334369</wp:posOffset>
          </wp:positionV>
          <wp:extent cx="4556098" cy="78586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6098" cy="785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B2FFF" w:rsidRDefault="004B2F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  <w:p w:rsidR="00B949BD" w:rsidRDefault="00B949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  <w:p w:rsidR="00B949BD" w:rsidRDefault="00B949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E66DD"/>
    <w:multiLevelType w:val="multilevel"/>
    <w:tmpl w:val="62BAD9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Nivel2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3B3306"/>
    <w:multiLevelType w:val="multilevel"/>
    <w:tmpl w:val="9C6A280E"/>
    <w:lvl w:ilvl="0">
      <w:start w:val="3"/>
      <w:numFmt w:val="decimal"/>
      <w:lvlText w:val="%1."/>
      <w:lvlJc w:val="left"/>
      <w:pPr>
        <w:ind w:left="400" w:hanging="40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F958E8"/>
    <w:multiLevelType w:val="multilevel"/>
    <w:tmpl w:val="F5C2C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pStyle w:val="NovoEstilo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654E9"/>
    <w:multiLevelType w:val="hybridMultilevel"/>
    <w:tmpl w:val="0A92C3A8"/>
    <w:lvl w:ilvl="0" w:tplc="0416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5" w15:restartNumberingAfterBreak="0">
    <w:nsid w:val="307A6783"/>
    <w:multiLevelType w:val="multilevel"/>
    <w:tmpl w:val="B73E32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6B28C6"/>
    <w:multiLevelType w:val="hybridMultilevel"/>
    <w:tmpl w:val="20B2B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D16B2"/>
    <w:multiLevelType w:val="multilevel"/>
    <w:tmpl w:val="C8C608D6"/>
    <w:lvl w:ilvl="0">
      <w:start w:val="1"/>
      <w:numFmt w:val="decimal"/>
      <w:pStyle w:val="TTULOPADR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Uso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PADRO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PADRO3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A4B1895"/>
    <w:multiLevelType w:val="hybridMultilevel"/>
    <w:tmpl w:val="BE3EDA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044D"/>
    <w:multiLevelType w:val="hybridMultilevel"/>
    <w:tmpl w:val="AA54E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0"/>
  </w:num>
  <w:num w:numId="12">
    <w:abstractNumId w:val="8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2F"/>
    <w:rsid w:val="0003050E"/>
    <w:rsid w:val="00042AD5"/>
    <w:rsid w:val="00071523"/>
    <w:rsid w:val="000B48D3"/>
    <w:rsid w:val="000C0072"/>
    <w:rsid w:val="000F2358"/>
    <w:rsid w:val="00121FCF"/>
    <w:rsid w:val="00134573"/>
    <w:rsid w:val="0016408F"/>
    <w:rsid w:val="00174F74"/>
    <w:rsid w:val="00183321"/>
    <w:rsid w:val="001A1260"/>
    <w:rsid w:val="001C29A7"/>
    <w:rsid w:val="001E4148"/>
    <w:rsid w:val="00211482"/>
    <w:rsid w:val="00214402"/>
    <w:rsid w:val="0023192F"/>
    <w:rsid w:val="0023773B"/>
    <w:rsid w:val="0026024A"/>
    <w:rsid w:val="00264E4F"/>
    <w:rsid w:val="002956FD"/>
    <w:rsid w:val="002C034D"/>
    <w:rsid w:val="002C1598"/>
    <w:rsid w:val="002D0055"/>
    <w:rsid w:val="00330AAF"/>
    <w:rsid w:val="00352980"/>
    <w:rsid w:val="0039068A"/>
    <w:rsid w:val="003D12AE"/>
    <w:rsid w:val="003E67CC"/>
    <w:rsid w:val="0043668D"/>
    <w:rsid w:val="00444B08"/>
    <w:rsid w:val="00480815"/>
    <w:rsid w:val="004B2FFF"/>
    <w:rsid w:val="004C24F7"/>
    <w:rsid w:val="004C6DC7"/>
    <w:rsid w:val="004E0923"/>
    <w:rsid w:val="004E17E0"/>
    <w:rsid w:val="00511475"/>
    <w:rsid w:val="0053025E"/>
    <w:rsid w:val="00534A18"/>
    <w:rsid w:val="005506FA"/>
    <w:rsid w:val="00575C41"/>
    <w:rsid w:val="00575E2E"/>
    <w:rsid w:val="005A0BD5"/>
    <w:rsid w:val="005C332C"/>
    <w:rsid w:val="005F6243"/>
    <w:rsid w:val="00601A00"/>
    <w:rsid w:val="00623E47"/>
    <w:rsid w:val="00632962"/>
    <w:rsid w:val="0065373A"/>
    <w:rsid w:val="0065714C"/>
    <w:rsid w:val="00670C8F"/>
    <w:rsid w:val="00671009"/>
    <w:rsid w:val="00693413"/>
    <w:rsid w:val="006A43BB"/>
    <w:rsid w:val="006A45B0"/>
    <w:rsid w:val="006A79C7"/>
    <w:rsid w:val="006B758E"/>
    <w:rsid w:val="006C2804"/>
    <w:rsid w:val="006D450F"/>
    <w:rsid w:val="006E7AA6"/>
    <w:rsid w:val="00712A38"/>
    <w:rsid w:val="00734BF6"/>
    <w:rsid w:val="00754B52"/>
    <w:rsid w:val="00766BF6"/>
    <w:rsid w:val="007B0934"/>
    <w:rsid w:val="007C104B"/>
    <w:rsid w:val="007D4ACE"/>
    <w:rsid w:val="00843B75"/>
    <w:rsid w:val="008712FD"/>
    <w:rsid w:val="008725A0"/>
    <w:rsid w:val="00887AC6"/>
    <w:rsid w:val="008C5D54"/>
    <w:rsid w:val="008D259F"/>
    <w:rsid w:val="008E2590"/>
    <w:rsid w:val="00961648"/>
    <w:rsid w:val="0097583D"/>
    <w:rsid w:val="009848D2"/>
    <w:rsid w:val="00985984"/>
    <w:rsid w:val="00995F05"/>
    <w:rsid w:val="009E3CF1"/>
    <w:rsid w:val="009E3FEC"/>
    <w:rsid w:val="009E50E0"/>
    <w:rsid w:val="009F4C15"/>
    <w:rsid w:val="00A1314D"/>
    <w:rsid w:val="00A15319"/>
    <w:rsid w:val="00A5234F"/>
    <w:rsid w:val="00AA71D9"/>
    <w:rsid w:val="00AC28E2"/>
    <w:rsid w:val="00AC4291"/>
    <w:rsid w:val="00AF7F71"/>
    <w:rsid w:val="00B137E6"/>
    <w:rsid w:val="00B145C6"/>
    <w:rsid w:val="00B3034E"/>
    <w:rsid w:val="00B46EAE"/>
    <w:rsid w:val="00B5251A"/>
    <w:rsid w:val="00B54BE8"/>
    <w:rsid w:val="00B71E52"/>
    <w:rsid w:val="00B80F41"/>
    <w:rsid w:val="00B949BD"/>
    <w:rsid w:val="00B97338"/>
    <w:rsid w:val="00BB52B4"/>
    <w:rsid w:val="00BD3F64"/>
    <w:rsid w:val="00C00E85"/>
    <w:rsid w:val="00CA5ED9"/>
    <w:rsid w:val="00CB0AFE"/>
    <w:rsid w:val="00CB6B76"/>
    <w:rsid w:val="00CF5008"/>
    <w:rsid w:val="00D11988"/>
    <w:rsid w:val="00D410D8"/>
    <w:rsid w:val="00D57A1B"/>
    <w:rsid w:val="00D7255E"/>
    <w:rsid w:val="00D81F0E"/>
    <w:rsid w:val="00DF4D9E"/>
    <w:rsid w:val="00E033B6"/>
    <w:rsid w:val="00E2596E"/>
    <w:rsid w:val="00E31FC8"/>
    <w:rsid w:val="00E60727"/>
    <w:rsid w:val="00E633A2"/>
    <w:rsid w:val="00E63C7E"/>
    <w:rsid w:val="00E72677"/>
    <w:rsid w:val="00E96E2F"/>
    <w:rsid w:val="00ED11BB"/>
    <w:rsid w:val="00F81092"/>
    <w:rsid w:val="00F8285F"/>
    <w:rsid w:val="00F92C55"/>
    <w:rsid w:val="00FC3744"/>
    <w:rsid w:val="00FC5AB3"/>
    <w:rsid w:val="00FC71AE"/>
    <w:rsid w:val="00FD079C"/>
    <w:rsid w:val="00FD7CE5"/>
    <w:rsid w:val="00FE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B8A55-DCF4-4CE9-AF6A-FBCFFBF8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7E0"/>
  </w:style>
  <w:style w:type="paragraph" w:styleId="Ttulo1">
    <w:name w:val="heading 1"/>
    <w:basedOn w:val="Normal"/>
    <w:next w:val="Normal"/>
    <w:link w:val="Ttulo1Char"/>
    <w:uiPriority w:val="9"/>
    <w:qFormat/>
    <w:rsid w:val="00E72B89"/>
    <w:pPr>
      <w:keepNext/>
      <w:keepLines/>
      <w:spacing w:before="240" w:line="360" w:lineRule="auto"/>
      <w:outlineLvl w:val="0"/>
    </w:pPr>
    <w:rPr>
      <w:rFonts w:asciiTheme="majorHAnsi" w:eastAsiaTheme="majorEastAsia" w:hAnsiTheme="majorHAnsi" w:cstheme="majorBidi"/>
      <w:color w:val="276E8B" w:themeColor="accent1" w:themeShade="BF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01715"/>
    <w:pPr>
      <w:keepNext/>
      <w:keepLines/>
      <w:spacing w:before="40" w:line="360" w:lineRule="auto"/>
      <w:outlineLvl w:val="2"/>
    </w:pPr>
    <w:rPr>
      <w:rFonts w:asciiTheme="majorHAnsi" w:eastAsiaTheme="majorEastAsia" w:hAnsiTheme="majorHAnsi" w:cstheme="majorBidi"/>
      <w:color w:val="1A495C" w:themeColor="accent1" w:themeShade="7F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voEstilo">
    <w:name w:val="Novo Estilo"/>
    <w:basedOn w:val="PargrafodaLista"/>
    <w:qFormat/>
    <w:rsid w:val="00E72B89"/>
    <w:pPr>
      <w:numPr>
        <w:ilvl w:val="1"/>
        <w:numId w:val="1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eastAsia="Arial"/>
      <w:szCs w:val="22"/>
    </w:rPr>
  </w:style>
  <w:style w:type="paragraph" w:styleId="PargrafodaLista">
    <w:name w:val="List Paragraph"/>
    <w:basedOn w:val="Normal"/>
    <w:link w:val="PargrafodaListaChar"/>
    <w:uiPriority w:val="34"/>
    <w:qFormat/>
    <w:rsid w:val="00E72B89"/>
    <w:pPr>
      <w:spacing w:line="360" w:lineRule="auto"/>
      <w:ind w:left="720"/>
      <w:contextualSpacing/>
    </w:pPr>
    <w:rPr>
      <w:rFonts w:ascii="Arial" w:eastAsia="Calibri" w:hAnsi="Arial"/>
      <w:sz w:val="22"/>
    </w:rPr>
  </w:style>
  <w:style w:type="paragraph" w:customStyle="1" w:styleId="Uso">
    <w:name w:val="Uso"/>
    <w:basedOn w:val="PargrafodaLista"/>
    <w:autoRedefine/>
    <w:qFormat/>
    <w:rsid w:val="00E72B89"/>
    <w:pPr>
      <w:numPr>
        <w:ilvl w:val="1"/>
        <w:numId w:val="2"/>
      </w:numPr>
      <w:spacing w:before="240" w:after="240" w:line="312" w:lineRule="auto"/>
      <w:jc w:val="both"/>
    </w:pPr>
    <w:rPr>
      <w:rFonts w:eastAsia="Arial"/>
      <w:color w:val="000000" w:themeColor="text1"/>
      <w:szCs w:val="22"/>
    </w:rPr>
  </w:style>
  <w:style w:type="paragraph" w:customStyle="1" w:styleId="PargrafosDocumento">
    <w:name w:val="Parágrafos Documento"/>
    <w:basedOn w:val="Normal"/>
    <w:autoRedefine/>
    <w:qFormat/>
    <w:rsid w:val="00E72B89"/>
    <w:p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/>
      <w:color w:val="000000"/>
      <w:sz w:val="22"/>
      <w:szCs w:val="22"/>
    </w:rPr>
  </w:style>
  <w:style w:type="paragraph" w:customStyle="1" w:styleId="ParagRecuoDocumento">
    <w:name w:val="Parag Recuo Documento"/>
    <w:basedOn w:val="Normal"/>
    <w:autoRedefine/>
    <w:qFormat/>
    <w:rsid w:val="00E72B89"/>
    <w:pPr>
      <w:pBdr>
        <w:top w:val="nil"/>
        <w:left w:val="nil"/>
        <w:bottom w:val="nil"/>
        <w:right w:val="nil"/>
        <w:between w:val="nil"/>
      </w:pBdr>
      <w:spacing w:line="312" w:lineRule="auto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PADRO">
    <w:name w:val="PADRÃO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1440"/>
      </w:tabs>
      <w:spacing w:before="240" w:after="240" w:line="312" w:lineRule="auto"/>
      <w:ind w:left="1440" w:hanging="720"/>
      <w:jc w:val="both"/>
    </w:pPr>
    <w:rPr>
      <w:rFonts w:ascii="Arial" w:eastAsia="Arial" w:hAnsi="Arial"/>
      <w:color w:val="000000"/>
      <w:sz w:val="22"/>
      <w:szCs w:val="22"/>
    </w:rPr>
  </w:style>
  <w:style w:type="paragraph" w:customStyle="1" w:styleId="PADRO2">
    <w:name w:val="PADRÃO 2"/>
    <w:basedOn w:val="Normal"/>
    <w:qFormat/>
    <w:rsid w:val="00E72B89"/>
    <w:pPr>
      <w:numPr>
        <w:ilvl w:val="2"/>
        <w:numId w:val="4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TTULOPADRO">
    <w:name w:val="TÍTULO PADRÃO"/>
    <w:basedOn w:val="Ttulo1"/>
    <w:qFormat/>
    <w:rsid w:val="00E72B89"/>
    <w:pPr>
      <w:numPr>
        <w:numId w:val="5"/>
      </w:numPr>
      <w:spacing w:after="240" w:line="312" w:lineRule="auto"/>
    </w:pPr>
    <w:rPr>
      <w:rFonts w:ascii="Arial" w:hAnsi="Arial"/>
      <w:b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E72B89"/>
    <w:rPr>
      <w:rFonts w:asciiTheme="majorHAnsi" w:eastAsiaTheme="majorEastAsia" w:hAnsiTheme="majorHAnsi" w:cstheme="majorBidi"/>
      <w:color w:val="276E8B" w:themeColor="accent1" w:themeShade="BF"/>
      <w:kern w:val="0"/>
      <w:sz w:val="32"/>
      <w:szCs w:val="32"/>
      <w:lang w:eastAsia="pt-BR"/>
    </w:rPr>
  </w:style>
  <w:style w:type="paragraph" w:customStyle="1" w:styleId="PARAGPADRO">
    <w:name w:val="PARAG. PADRÃO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1440"/>
      </w:tabs>
      <w:spacing w:before="240" w:after="240" w:line="312" w:lineRule="auto"/>
      <w:ind w:left="1440" w:hanging="720"/>
      <w:jc w:val="both"/>
    </w:pPr>
    <w:rPr>
      <w:rFonts w:ascii="Arial" w:eastAsia="Arial" w:hAnsi="Arial"/>
      <w:color w:val="000000"/>
      <w:sz w:val="22"/>
      <w:szCs w:val="22"/>
    </w:rPr>
  </w:style>
  <w:style w:type="paragraph" w:customStyle="1" w:styleId="PARAGPADRO2">
    <w:name w:val="PARAG. PADRÃO 2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2160"/>
      </w:tabs>
      <w:spacing w:line="312" w:lineRule="auto"/>
      <w:ind w:left="2160" w:hanging="72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PADRO1">
    <w:name w:val="PADRÃO 1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1440"/>
      </w:tabs>
      <w:spacing w:before="240" w:after="240" w:line="312" w:lineRule="auto"/>
      <w:ind w:left="1440" w:hanging="72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PADRO3">
    <w:name w:val="PADRÃO 3"/>
    <w:basedOn w:val="Normal"/>
    <w:qFormat/>
    <w:rsid w:val="00E72B89"/>
    <w:pPr>
      <w:numPr>
        <w:ilvl w:val="3"/>
        <w:numId w:val="6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TITULOPADRO">
    <w:name w:val="TITULO PADRÃO"/>
    <w:basedOn w:val="Normal"/>
    <w:qFormat/>
    <w:rsid w:val="00E72B89"/>
    <w:pPr>
      <w:keepNext/>
      <w:keepLines/>
      <w:pBdr>
        <w:top w:val="nil"/>
        <w:left w:val="nil"/>
        <w:bottom w:val="nil"/>
        <w:right w:val="nil"/>
        <w:between w:val="nil"/>
      </w:pBdr>
      <w:tabs>
        <w:tab w:val="left" w:pos="567"/>
        <w:tab w:val="num" w:pos="720"/>
      </w:tabs>
      <w:spacing w:before="240" w:after="240" w:line="312" w:lineRule="auto"/>
      <w:ind w:left="720" w:hanging="720"/>
      <w:jc w:val="both"/>
    </w:pPr>
    <w:rPr>
      <w:rFonts w:ascii="Arial" w:eastAsia="Arial" w:hAnsi="Arial" w:cs="Arial"/>
      <w:b/>
      <w:color w:val="000000"/>
    </w:rPr>
  </w:style>
  <w:style w:type="paragraph" w:customStyle="1" w:styleId="PADROII">
    <w:name w:val="PADRÃO II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Arial"/>
      <w:color w:val="000000" w:themeColor="text1"/>
      <w:sz w:val="22"/>
      <w:szCs w:val="22"/>
    </w:rPr>
  </w:style>
  <w:style w:type="paragraph" w:customStyle="1" w:styleId="PADRO0">
    <w:name w:val="PADRÃO."/>
    <w:basedOn w:val="Normal"/>
    <w:qFormat/>
    <w:rsid w:val="00DC66D3"/>
    <w:pPr>
      <w:spacing w:line="360" w:lineRule="auto"/>
      <w:jc w:val="both"/>
    </w:pPr>
    <w:rPr>
      <w:rFonts w:ascii="Arial" w:eastAsia="Calibri" w:hAnsi="Arial" w:cs="Arial"/>
      <w:color w:val="000000" w:themeColor="text1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01715"/>
    <w:rPr>
      <w:rFonts w:asciiTheme="majorHAnsi" w:eastAsiaTheme="majorEastAsia" w:hAnsiTheme="majorHAnsi" w:cstheme="majorBidi"/>
      <w:color w:val="1A495C" w:themeColor="accent1" w:themeShade="7F"/>
      <w:kern w:val="0"/>
      <w:lang w:eastAsia="pt-BR"/>
    </w:rPr>
  </w:style>
  <w:style w:type="table" w:styleId="GradeClara-nfase1">
    <w:name w:val="Light Grid Accent 1"/>
    <w:basedOn w:val="Tabelanormal"/>
    <w:uiPriority w:val="62"/>
    <w:rsid w:val="00A01715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3494BA" w:themeColor="accent1"/>
        <w:left w:val="single" w:sz="8" w:space="0" w:color="3494BA" w:themeColor="accent1"/>
        <w:bottom w:val="single" w:sz="8" w:space="0" w:color="3494BA" w:themeColor="accent1"/>
        <w:right w:val="single" w:sz="8" w:space="0" w:color="3494BA" w:themeColor="accent1"/>
        <w:insideH w:val="single" w:sz="8" w:space="0" w:color="3494BA" w:themeColor="accent1"/>
        <w:insideV w:val="single" w:sz="8" w:space="0" w:color="3494B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18" w:space="0" w:color="3494BA" w:themeColor="accent1"/>
          <w:right w:val="single" w:sz="8" w:space="0" w:color="3494BA" w:themeColor="accent1"/>
          <w:insideH w:val="nil"/>
          <w:insideV w:val="single" w:sz="8" w:space="0" w:color="3494B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  <w:insideH w:val="nil"/>
          <w:insideV w:val="single" w:sz="8" w:space="0" w:color="3494B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</w:tcBorders>
      </w:tcPr>
    </w:tblStylePr>
    <w:tblStylePr w:type="band1Vert"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</w:tcBorders>
        <w:shd w:val="clear" w:color="auto" w:fill="CAE5F0" w:themeFill="accent1" w:themeFillTint="3F"/>
      </w:tcPr>
    </w:tblStylePr>
    <w:tblStylePr w:type="band1Horz"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  <w:insideV w:val="single" w:sz="8" w:space="0" w:color="3494BA" w:themeColor="accent1"/>
        </w:tcBorders>
        <w:shd w:val="clear" w:color="auto" w:fill="CAE5F0" w:themeFill="accent1" w:themeFillTint="3F"/>
      </w:tcPr>
    </w:tblStylePr>
    <w:tblStylePr w:type="band2Horz"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  <w:insideV w:val="single" w:sz="8" w:space="0" w:color="3494BA" w:themeColor="accent1"/>
        </w:tcBorders>
      </w:tcPr>
    </w:tblStylePr>
  </w:style>
  <w:style w:type="table" w:styleId="Tabelacomgrade">
    <w:name w:val="Table Grid"/>
    <w:basedOn w:val="Tabelanormal"/>
    <w:uiPriority w:val="39"/>
    <w:rsid w:val="00A01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01715"/>
    <w:pPr>
      <w:tabs>
        <w:tab w:val="center" w:pos="4252"/>
        <w:tab w:val="right" w:pos="8504"/>
      </w:tabs>
    </w:pPr>
    <w:rPr>
      <w:rFonts w:ascii="Arial" w:eastAsia="Calibri" w:hAnsi="Arial"/>
      <w:sz w:val="22"/>
    </w:rPr>
  </w:style>
  <w:style w:type="character" w:customStyle="1" w:styleId="CabealhoChar">
    <w:name w:val="Cabeçalho Char"/>
    <w:basedOn w:val="Fontepargpadro"/>
    <w:link w:val="Cabealho"/>
    <w:uiPriority w:val="99"/>
    <w:rsid w:val="00A01715"/>
    <w:rPr>
      <w:rFonts w:ascii="Arial" w:hAnsi="Arial" w:cs="Times New Roman"/>
      <w:kern w:val="0"/>
      <w:sz w:val="22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01715"/>
    <w:pPr>
      <w:tabs>
        <w:tab w:val="center" w:pos="4252"/>
        <w:tab w:val="right" w:pos="8504"/>
      </w:tabs>
    </w:pPr>
    <w:rPr>
      <w:rFonts w:ascii="Arial" w:eastAsia="Calibri" w:hAnsi="Arial"/>
      <w:sz w:val="22"/>
    </w:rPr>
  </w:style>
  <w:style w:type="character" w:customStyle="1" w:styleId="RodapChar">
    <w:name w:val="Rodapé Char"/>
    <w:basedOn w:val="Fontepargpadro"/>
    <w:link w:val="Rodap"/>
    <w:uiPriority w:val="99"/>
    <w:rsid w:val="00A01715"/>
    <w:rPr>
      <w:rFonts w:ascii="Arial" w:hAnsi="Arial" w:cs="Times New Roman"/>
      <w:kern w:val="0"/>
      <w:sz w:val="22"/>
      <w:lang w:eastAsia="pt-BR"/>
    </w:rPr>
  </w:style>
  <w:style w:type="character" w:styleId="Hyperlink">
    <w:name w:val="Hyperlink"/>
    <w:basedOn w:val="Fontepargpadro"/>
    <w:uiPriority w:val="99"/>
    <w:unhideWhenUsed/>
    <w:rsid w:val="0061077C"/>
    <w:rPr>
      <w:color w:val="6B9F25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1077C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fontstyle21">
    <w:name w:val="fontstyle21"/>
    <w:basedOn w:val="Fontepargpadro"/>
    <w:rsid w:val="00CB0AFE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71009"/>
    <w:pPr>
      <w:spacing w:before="100" w:beforeAutospacing="1" w:after="100" w:afterAutospacing="1"/>
    </w:pPr>
  </w:style>
  <w:style w:type="paragraph" w:styleId="Corpodetexto">
    <w:name w:val="Body Text"/>
    <w:basedOn w:val="Normal"/>
    <w:link w:val="CorpodetextoChar"/>
    <w:uiPriority w:val="1"/>
    <w:qFormat/>
    <w:rsid w:val="0065714C"/>
    <w:pPr>
      <w:widowControl w:val="0"/>
      <w:autoSpaceDE w:val="0"/>
      <w:autoSpaceDN w:val="0"/>
      <w:ind w:left="128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5714C"/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style01">
    <w:name w:val="fontstyle01"/>
    <w:basedOn w:val="Fontepargpadro"/>
    <w:rsid w:val="0007152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754B52"/>
    <w:rPr>
      <w:b/>
      <w:bCs/>
    </w:rPr>
  </w:style>
  <w:style w:type="paragraph" w:customStyle="1" w:styleId="Nivel01">
    <w:name w:val="Nivel 01"/>
    <w:basedOn w:val="Ttulo1"/>
    <w:next w:val="Normal"/>
    <w:autoRedefine/>
    <w:qFormat/>
    <w:rsid w:val="009848D2"/>
    <w:pPr>
      <w:numPr>
        <w:numId w:val="8"/>
      </w:numPr>
      <w:tabs>
        <w:tab w:val="num" w:pos="360"/>
        <w:tab w:val="left" w:pos="567"/>
      </w:tabs>
      <w:spacing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7B0934"/>
    <w:pPr>
      <w:numPr>
        <w:ilvl w:val="1"/>
        <w:numId w:val="11"/>
      </w:numPr>
      <w:spacing w:before="120" w:after="120" w:line="276" w:lineRule="auto"/>
      <w:ind w:left="709"/>
      <w:jc w:val="both"/>
    </w:pPr>
    <w:rPr>
      <w:rFonts w:ascii="Arial" w:eastAsia="Arial" w:hAnsi="Arial" w:cs="Arial"/>
      <w:sz w:val="20"/>
      <w:szCs w:val="20"/>
      <w:lang w:eastAsia="en-US"/>
    </w:rPr>
  </w:style>
  <w:style w:type="paragraph" w:customStyle="1" w:styleId="Nivel3">
    <w:name w:val="Nivel 3"/>
    <w:basedOn w:val="Normal"/>
    <w:link w:val="Nivel3Char"/>
    <w:autoRedefine/>
    <w:qFormat/>
    <w:rsid w:val="009848D2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autoRedefine/>
    <w:qFormat/>
    <w:rsid w:val="009848D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848D2"/>
    <w:pPr>
      <w:numPr>
        <w:ilvl w:val="4"/>
      </w:numPr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7B0934"/>
    <w:rPr>
      <w:rFonts w:ascii="Arial" w:eastAsia="Arial" w:hAnsi="Arial" w:cs="Arial"/>
      <w:sz w:val="20"/>
      <w:szCs w:val="20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073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073B"/>
    <w:rPr>
      <w:rFonts w:ascii="Segoe UI" w:hAnsi="Segoe UI" w:cs="Segoe UI"/>
      <w:sz w:val="18"/>
      <w:szCs w:val="18"/>
    </w:rPr>
  </w:style>
  <w:style w:type="character" w:customStyle="1" w:styleId="Nivel3Char">
    <w:name w:val="Nivel 3 Char"/>
    <w:basedOn w:val="Fontepargpadro"/>
    <w:link w:val="Nivel3"/>
    <w:rsid w:val="007B0934"/>
    <w:rPr>
      <w:rFonts w:ascii="Arial" w:eastAsiaTheme="minorEastAsia" w:hAnsi="Arial" w:cs="Arial"/>
      <w:color w:val="000000"/>
      <w:sz w:val="20"/>
      <w:szCs w:val="20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6A45B0"/>
    <w:rPr>
      <w:rFonts w:ascii="Arial" w:eastAsia="Calibri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1.tce.pr.gov.br/conteudo/resolucao-n%C2%BA-252011/1379/area/242" TargetMode="External"/><Relationship Id="rId4" Type="http://schemas.openxmlformats.org/officeDocument/2006/relationships/styles" Target="styles.xml"/><Relationship Id="rId9" Type="http://schemas.openxmlformats.org/officeDocument/2006/relationships/hyperlink" Target="https://vilabetume.com.br/asfalto-cbuq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Verde-azulado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oNv2ILGNKKZ79Xq8Z6ZCtgPOGw==">CgMxLjA4AHIhMWh0RFg2UWhNaFlrVFdad290VmxSOHQ4R2dlVFZqZmlO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E870DF4-6965-4F07-A493-E1C70425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2509</Words>
  <Characters>13552</Characters>
  <Application>Microsoft Office Word</Application>
  <DocSecurity>0</DocSecurity>
  <Lines>112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Nayara Lorena de Sousa Mizota</dc:creator>
  <cp:lastModifiedBy>Conta da Microsoft</cp:lastModifiedBy>
  <cp:revision>104</cp:revision>
  <cp:lastPrinted>2024-07-09T13:24:00Z</cp:lastPrinted>
  <dcterms:created xsi:type="dcterms:W3CDTF">2024-03-06T11:37:00Z</dcterms:created>
  <dcterms:modified xsi:type="dcterms:W3CDTF">2024-07-23T18:43:00Z</dcterms:modified>
</cp:coreProperties>
</file>